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60" w:lineRule="exact"/>
        <w:rPr>
          <w:rFonts w:ascii="Times New Roman" w:hAnsi="Times New Roman" w:eastAsia="黑体" w:cs="仿宋_GB2312"/>
          <w:color w:val="auto"/>
          <w:sz w:val="33"/>
          <w:szCs w:val="33"/>
          <w:u w:val="none"/>
        </w:rPr>
      </w:pPr>
    </w:p>
    <w:p>
      <w:pPr>
        <w:widowControl/>
        <w:shd w:val="clear" w:color="auto" w:fill="FFFFFF"/>
        <w:spacing w:line="560" w:lineRule="exact"/>
        <w:jc w:val="center"/>
        <w:rPr>
          <w:rFonts w:hint="eastAsia" w:ascii="方正小标宋简体" w:hAnsi="宋体" w:eastAsia="方正小标宋简体" w:cs="宋体"/>
          <w:color w:val="auto"/>
          <w:sz w:val="44"/>
          <w:szCs w:val="44"/>
          <w:u w:val="none"/>
          <w:shd w:val="clear" w:color="auto" w:fill="FFFFFF"/>
        </w:rPr>
      </w:pPr>
      <w:r>
        <w:rPr>
          <w:rFonts w:hint="eastAsia" w:ascii="方正小标宋简体" w:hAnsi="宋体" w:eastAsia="方正小标宋简体" w:cs="宋体"/>
          <w:color w:val="auto"/>
          <w:sz w:val="44"/>
          <w:szCs w:val="44"/>
          <w:u w:val="none"/>
          <w:shd w:val="clear" w:color="auto" w:fill="FFFFFF"/>
        </w:rPr>
        <w:t>邯郸市</w:t>
      </w:r>
      <w:r>
        <w:rPr>
          <w:rFonts w:hint="eastAsia" w:ascii="方正小标宋简体" w:hAnsi="Times New Roman" w:eastAsia="方正小标宋简体"/>
          <w:color w:val="auto"/>
          <w:sz w:val="44"/>
          <w:szCs w:val="44"/>
          <w:u w:val="none"/>
          <w:shd w:val="clear" w:color="auto" w:fill="FFFFFF"/>
        </w:rPr>
        <w:t>202</w:t>
      </w:r>
      <w:r>
        <w:rPr>
          <w:rFonts w:hint="eastAsia" w:ascii="方正小标宋简体" w:hAnsi="Times New Roman" w:eastAsia="方正小标宋简体"/>
          <w:color w:val="auto"/>
          <w:sz w:val="44"/>
          <w:szCs w:val="44"/>
          <w:u w:val="none"/>
          <w:shd w:val="clear" w:color="auto" w:fill="FFFFFF"/>
          <w:lang w:val="en-US" w:eastAsia="zh-CN"/>
        </w:rPr>
        <w:t>3</w:t>
      </w:r>
      <w:r>
        <w:rPr>
          <w:rFonts w:hint="eastAsia" w:ascii="方正小标宋简体" w:hAnsi="宋体" w:eastAsia="方正小标宋简体" w:cs="宋体"/>
          <w:color w:val="auto"/>
          <w:sz w:val="44"/>
          <w:szCs w:val="44"/>
          <w:u w:val="none"/>
          <w:shd w:val="clear" w:color="auto" w:fill="FFFFFF"/>
        </w:rPr>
        <w:t>年度社会科学规划课题指南</w:t>
      </w:r>
    </w:p>
    <w:p>
      <w:pPr>
        <w:shd w:val="clear" w:color="auto" w:fill="FFFFFF"/>
        <w:topLinePunct/>
        <w:spacing w:line="570" w:lineRule="exact"/>
        <w:ind w:firstLine="640" w:firstLineChars="200"/>
        <w:rPr>
          <w:rFonts w:ascii="Times New Roman" w:hAnsi="Times New Roman" w:eastAsia="方正仿宋_GBK" w:cs="宋体"/>
          <w:color w:val="auto"/>
          <w:kern w:val="0"/>
          <w:sz w:val="32"/>
          <w:szCs w:val="32"/>
          <w:u w:val="none"/>
        </w:rPr>
      </w:pPr>
    </w:p>
    <w:p>
      <w:pPr>
        <w:pStyle w:val="7"/>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0" w:beforeAutospacing="0" w:after="0" w:afterAutospacing="0" w:line="560" w:lineRule="exact"/>
        <w:ind w:left="0" w:leftChars="0" w:firstLine="640" w:firstLineChars="200"/>
        <w:jc w:val="both"/>
        <w:textAlignment w:val="auto"/>
        <w:rPr>
          <w:rFonts w:hint="eastAsia" w:ascii="仿宋_GB2312" w:hAnsi="仿宋_GB2312" w:eastAsia="仿宋_GB2312" w:cs="仿宋_GB2312"/>
          <w:sz w:val="32"/>
          <w:szCs w:val="32"/>
          <w:u w:val="none"/>
          <w:shd w:val="clear" w:color="auto" w:fill="FFFFFF"/>
          <w:lang w:eastAsia="zh-CN"/>
        </w:rPr>
      </w:pPr>
      <w:r>
        <w:rPr>
          <w:rFonts w:hint="eastAsia" w:ascii="仿宋_GB2312" w:hAnsi="仿宋_GB2312" w:eastAsia="仿宋_GB2312" w:cs="仿宋_GB2312"/>
          <w:sz w:val="32"/>
          <w:szCs w:val="32"/>
          <w:u w:val="none"/>
        </w:rPr>
        <w:t>本指南所列条目为重点研究领域和方向，申报者</w:t>
      </w:r>
      <w:r>
        <w:rPr>
          <w:rFonts w:hint="eastAsia" w:ascii="仿宋_GB2312" w:hAnsi="仿宋_GB2312" w:eastAsia="仿宋_GB2312" w:cs="仿宋_GB2312"/>
          <w:sz w:val="32"/>
          <w:szCs w:val="32"/>
          <w:u w:val="none"/>
          <w:shd w:val="clear" w:color="auto" w:fill="FFFFFF"/>
          <w:lang w:eastAsia="zh-CN"/>
        </w:rPr>
        <w:t>依据选题方向，结合自己的学术专长和研究基础，坚持“立足邯郸、研究邯郸、服务邯郸”，拟定更加具体的申报选题。选题要体现鲜明的时代特征、问题导向和创新意识，围绕邯郸经济社会发展需要，聚焦全局性、战略性和前瞻性的重大理论与实践问题，具有现实性、针对性和较强的决策参考价值。</w:t>
      </w:r>
    </w:p>
    <w:p>
      <w:pPr>
        <w:keepNext w:val="0"/>
        <w:keepLines w:val="0"/>
        <w:pageBreakBefore w:val="0"/>
        <w:kinsoku/>
        <w:wordWrap/>
        <w:overflowPunct/>
        <w:autoSpaceDE/>
        <w:autoSpaceDN/>
        <w:bidi w:val="0"/>
        <w:adjustRightInd w:val="0"/>
        <w:snapToGrid w:val="0"/>
        <w:spacing w:line="560" w:lineRule="exact"/>
        <w:ind w:left="0" w:leftChars="0" w:firstLine="640" w:firstLineChars="200"/>
        <w:textAlignment w:val="auto"/>
        <w:rPr>
          <w:rFonts w:hint="eastAsia" w:ascii="方正黑体_GBK" w:hAnsi="方正黑体_GBK" w:eastAsia="方正黑体_GBK" w:cs="方正黑体_GBK"/>
          <w:b w:val="0"/>
          <w:bCs w:val="0"/>
          <w:color w:val="auto"/>
          <w:sz w:val="32"/>
          <w:szCs w:val="32"/>
          <w:u w:val="none"/>
          <w:lang w:eastAsia="zh-CN"/>
        </w:rPr>
      </w:pPr>
      <w:r>
        <w:rPr>
          <w:rFonts w:hint="eastAsia" w:ascii="方正黑体_GBK" w:hAnsi="方正黑体_GBK" w:eastAsia="方正黑体_GBK" w:cs="方正黑体_GBK"/>
          <w:b w:val="0"/>
          <w:bCs w:val="0"/>
          <w:color w:val="auto"/>
          <w:kern w:val="0"/>
          <w:sz w:val="32"/>
          <w:szCs w:val="32"/>
          <w:u w:val="none"/>
        </w:rPr>
        <w:t>一、</w:t>
      </w:r>
      <w:r>
        <w:rPr>
          <w:rFonts w:hint="eastAsia" w:ascii="方正黑体_GBK" w:hAnsi="方正黑体_GBK" w:eastAsia="方正黑体_GBK" w:cs="方正黑体_GBK"/>
          <w:b w:val="0"/>
          <w:bCs w:val="0"/>
          <w:sz w:val="32"/>
          <w:szCs w:val="32"/>
        </w:rPr>
        <w:t>习近平新时代中国特色社会主义思想和党的二十大精神研究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习近平新时代中国特色社会主义思想的世界观和方法论研究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习近平新时代中国特色社会主义思想话语体系研究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开辟马克思主义中国化时代化新境界的基本原则和路径方法研究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习近平新时代中国特色社会主义思想</w:t>
      </w:r>
      <w:r>
        <w:rPr>
          <w:rFonts w:hint="eastAsia" w:ascii="仿宋_GB2312" w:hAnsi="仿宋_GB2312" w:eastAsia="仿宋_GB2312" w:cs="仿宋_GB2312"/>
          <w:sz w:val="32"/>
          <w:szCs w:val="32"/>
          <w:lang w:eastAsia="zh-CN"/>
        </w:rPr>
        <w:t>学理化研究及</w:t>
      </w:r>
      <w:r>
        <w:rPr>
          <w:rFonts w:hint="eastAsia" w:ascii="仿宋_GB2312" w:hAnsi="仿宋_GB2312" w:eastAsia="仿宋_GB2312" w:cs="仿宋_GB2312"/>
          <w:sz w:val="32"/>
          <w:szCs w:val="32"/>
        </w:rPr>
        <w:t>邯郸实践研究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5.学习阐释和贯彻落实习近平总书记对河北重要指示批示精神实践研究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以中国式现代化全面推进中华民族伟大复兴的理论与实践研究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中国式现代化的科学内涵、本质要求和实现路径研究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以“两个结合”继续推进马克思主义中国化时代化研究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马克思主义与中华优秀传统文化相结合的原理、方法和路径研究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“三个务必”的价值意蕴与实践要求研究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11.</w:t>
      </w:r>
      <w:r>
        <w:rPr>
          <w:rFonts w:hint="eastAsia" w:ascii="仿宋_GB2312" w:hAnsi="仿宋_GB2312" w:eastAsia="仿宋_GB2312" w:cs="仿宋_GB2312"/>
          <w:sz w:val="32"/>
          <w:szCs w:val="32"/>
        </w:rPr>
        <w:t>新时代中国共产党推进理论创新的理论和实践逻辑研究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12.</w:t>
      </w:r>
      <w:r>
        <w:rPr>
          <w:rFonts w:hint="eastAsia" w:ascii="仿宋_GB2312" w:hAnsi="仿宋_GB2312" w:eastAsia="仿宋_GB2312" w:cs="仿宋_GB2312"/>
          <w:sz w:val="32"/>
          <w:szCs w:val="32"/>
        </w:rPr>
        <w:t>中国式现代化建设中坚持改革开放的目标与重点任务研究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13.</w:t>
      </w:r>
      <w:r>
        <w:rPr>
          <w:rFonts w:hint="eastAsia" w:ascii="仿宋_GB2312" w:hAnsi="仿宋_GB2312" w:eastAsia="仿宋_GB2312" w:cs="仿宋_GB2312"/>
          <w:sz w:val="32"/>
          <w:szCs w:val="32"/>
        </w:rPr>
        <w:t>在高质量发展中促进共同富裕的制度设计研究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14.</w:t>
      </w:r>
      <w:r>
        <w:rPr>
          <w:rFonts w:hint="eastAsia" w:ascii="仿宋_GB2312" w:hAnsi="仿宋_GB2312" w:eastAsia="仿宋_GB2312" w:cs="仿宋_GB2312"/>
          <w:sz w:val="32"/>
          <w:szCs w:val="32"/>
        </w:rPr>
        <w:t>实现第二个百年奋斗目标新的赶考之路上需防范的重大风险研究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15.</w:t>
      </w:r>
      <w:r>
        <w:rPr>
          <w:rFonts w:hint="eastAsia" w:ascii="仿宋_GB2312" w:hAnsi="仿宋_GB2312" w:eastAsia="仿宋_GB2312" w:cs="仿宋_GB2312"/>
          <w:sz w:val="32"/>
          <w:szCs w:val="32"/>
        </w:rPr>
        <w:t>数字时代马克思主义理论创新与传播研究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16.</w:t>
      </w:r>
      <w:r>
        <w:rPr>
          <w:rFonts w:hint="eastAsia" w:ascii="仿宋_GB2312" w:hAnsi="仿宋_GB2312" w:eastAsia="仿宋_GB2312" w:cs="仿宋_GB2312"/>
          <w:sz w:val="32"/>
          <w:szCs w:val="32"/>
        </w:rPr>
        <w:t>弘扬以伟大建党精神为源头的中国共产党人精神谱系研究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17.</w:t>
      </w:r>
      <w:r>
        <w:rPr>
          <w:rFonts w:hint="eastAsia" w:ascii="仿宋_GB2312" w:hAnsi="仿宋_GB2312" w:eastAsia="仿宋_GB2312" w:cs="仿宋_GB2312"/>
          <w:sz w:val="32"/>
          <w:szCs w:val="32"/>
        </w:rPr>
        <w:t>以党的自我革命引领社会革命研究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18.加快构建中国特色哲学社会科学学科体系、学术体系、话语体系研究</w:t>
      </w:r>
    </w:p>
    <w:p>
      <w:pPr>
        <w:keepNext w:val="0"/>
        <w:keepLines w:val="0"/>
        <w:pageBreakBefore w:val="0"/>
        <w:kinsoku/>
        <w:wordWrap/>
        <w:overflowPunct/>
        <w:autoSpaceDE/>
        <w:autoSpaceDN/>
        <w:bidi w:val="0"/>
        <w:adjustRightInd w:val="0"/>
        <w:snapToGrid w:val="0"/>
        <w:spacing w:line="560" w:lineRule="exact"/>
        <w:ind w:left="0" w:leftChars="0" w:firstLine="640" w:firstLineChars="200"/>
        <w:textAlignment w:val="auto"/>
        <w:rPr>
          <w:rFonts w:hint="eastAsia" w:ascii="方正黑体_GBK" w:hAnsi="方正黑体_GBK" w:eastAsia="方正黑体_GBK" w:cs="方正黑体_GBK"/>
          <w:b w:val="0"/>
          <w:bCs w:val="0"/>
          <w:color w:val="auto"/>
          <w:kern w:val="0"/>
          <w:sz w:val="32"/>
          <w:szCs w:val="32"/>
          <w:u w:val="none"/>
        </w:rPr>
      </w:pPr>
      <w:r>
        <w:rPr>
          <w:rFonts w:hint="eastAsia" w:ascii="方正黑体_GBK" w:hAnsi="方正黑体_GBK" w:eastAsia="方正黑体_GBK" w:cs="方正黑体_GBK"/>
          <w:b w:val="0"/>
          <w:bCs w:val="0"/>
          <w:color w:val="auto"/>
          <w:kern w:val="0"/>
          <w:sz w:val="32"/>
          <w:szCs w:val="32"/>
          <w:u w:val="none"/>
        </w:rPr>
        <w:t>二、</w:t>
      </w:r>
      <w:r>
        <w:rPr>
          <w:rFonts w:hint="eastAsia" w:ascii="方正黑体_GBK" w:hAnsi="方正黑体_GBK" w:eastAsia="方正黑体_GBK" w:cs="方正黑体_GBK"/>
          <w:b w:val="0"/>
          <w:bCs w:val="0"/>
          <w:color w:val="auto"/>
          <w:kern w:val="0"/>
          <w:sz w:val="32"/>
          <w:szCs w:val="32"/>
          <w:u w:val="none"/>
          <w:lang w:val="en-US" w:eastAsia="zh-CN"/>
        </w:rPr>
        <w:t>加快构建中国式现代化邯郸场景研究</w:t>
      </w:r>
    </w:p>
    <w:p>
      <w:pPr>
        <w:keepNext w:val="0"/>
        <w:keepLines w:val="0"/>
        <w:pageBreakBefore w:val="0"/>
        <w:numPr>
          <w:ilvl w:val="0"/>
          <w:numId w:val="0"/>
        </w:numPr>
        <w:kinsoku/>
        <w:wordWrap/>
        <w:overflowPunct/>
        <w:autoSpaceDE/>
        <w:autoSpaceDN/>
        <w:bidi w:val="0"/>
        <w:spacing w:line="560" w:lineRule="exact"/>
        <w:ind w:left="0" w:leftChars="0" w:firstLine="640" w:firstLineChars="200"/>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1.“六个中心”（区域经济中心、科技创新中心、交通枢纽中心、文化旅游中心、商贸物流中心、教育医疗中心）建设重大理论和现实问题研究</w:t>
      </w:r>
    </w:p>
    <w:p>
      <w:pPr>
        <w:keepNext w:val="0"/>
        <w:keepLines w:val="0"/>
        <w:pageBreakBefore w:val="0"/>
        <w:numPr>
          <w:ilvl w:val="0"/>
          <w:numId w:val="0"/>
        </w:numPr>
        <w:kinsoku/>
        <w:wordWrap/>
        <w:overflowPunct/>
        <w:autoSpaceDE/>
        <w:autoSpaceDN/>
        <w:bidi w:val="0"/>
        <w:spacing w:line="560" w:lineRule="exact"/>
        <w:ind w:left="0" w:leftChars="0" w:firstLine="640" w:firstLineChars="200"/>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2.邯郸加快融入全省“两翼两区三群六带”发展布局研究</w:t>
      </w:r>
    </w:p>
    <w:p>
      <w:pPr>
        <w:keepNext w:val="0"/>
        <w:keepLines w:val="0"/>
        <w:pageBreakBefore w:val="0"/>
        <w:numPr>
          <w:ilvl w:val="0"/>
          <w:numId w:val="0"/>
        </w:numPr>
        <w:kinsoku/>
        <w:wordWrap/>
        <w:overflowPunct/>
        <w:autoSpaceDE/>
        <w:autoSpaceDN/>
        <w:bidi w:val="0"/>
        <w:spacing w:line="560" w:lineRule="exact"/>
        <w:ind w:left="0" w:leftChars="0" w:firstLine="640" w:firstLineChars="200"/>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3.提升区域中心城市发展能级研究</w:t>
      </w:r>
    </w:p>
    <w:p>
      <w:pPr>
        <w:keepNext w:val="0"/>
        <w:keepLines w:val="0"/>
        <w:pageBreakBefore w:val="0"/>
        <w:numPr>
          <w:ilvl w:val="0"/>
          <w:numId w:val="0"/>
        </w:numPr>
        <w:kinsoku/>
        <w:wordWrap/>
        <w:overflowPunct/>
        <w:autoSpaceDE/>
        <w:autoSpaceDN/>
        <w:bidi w:val="0"/>
        <w:spacing w:line="560" w:lineRule="exact"/>
        <w:ind w:left="0" w:leftChars="0" w:firstLine="640" w:firstLineChars="200"/>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4.优化邯郸城市发展空间格局，提升城市发展能级和综合竞争力研究</w:t>
      </w:r>
    </w:p>
    <w:p>
      <w:pPr>
        <w:keepNext w:val="0"/>
        <w:keepLines w:val="0"/>
        <w:pageBreakBefore w:val="0"/>
        <w:numPr>
          <w:ilvl w:val="0"/>
          <w:numId w:val="0"/>
        </w:numPr>
        <w:kinsoku/>
        <w:wordWrap/>
        <w:overflowPunct/>
        <w:autoSpaceDE/>
        <w:autoSpaceDN/>
        <w:bidi w:val="0"/>
        <w:spacing w:line="560" w:lineRule="exact"/>
        <w:ind w:left="0" w:leftChars="0" w:firstLine="642" w:firstLineChars="200"/>
        <w:textAlignment w:val="auto"/>
        <w:rPr>
          <w:rFonts w:hint="eastAsia" w:ascii="楷体_GB2312" w:hAnsi="楷体_GB2312" w:eastAsia="楷体_GB2312" w:cs="楷体_GB2312"/>
          <w:b/>
          <w:bCs/>
          <w:sz w:val="32"/>
          <w:szCs w:val="32"/>
          <w:u w:val="none"/>
          <w:lang w:val="en-US" w:eastAsia="zh-CN"/>
        </w:rPr>
      </w:pPr>
      <w:r>
        <w:rPr>
          <w:rFonts w:hint="eastAsia" w:ascii="楷体_GB2312" w:hAnsi="楷体_GB2312" w:eastAsia="楷体_GB2312" w:cs="楷体_GB2312"/>
          <w:b/>
          <w:bCs/>
          <w:sz w:val="32"/>
          <w:szCs w:val="32"/>
          <w:u w:val="none"/>
          <w:lang w:val="en-US" w:eastAsia="zh-CN"/>
        </w:rPr>
        <w:t>（一）加快构建量质齐升、后劲十足的高质量发展场景方面</w:t>
      </w:r>
    </w:p>
    <w:p>
      <w:pPr>
        <w:keepNext w:val="0"/>
        <w:keepLines w:val="0"/>
        <w:pageBreakBefore w:val="0"/>
        <w:numPr>
          <w:ilvl w:val="0"/>
          <w:numId w:val="0"/>
        </w:numPr>
        <w:kinsoku/>
        <w:wordWrap/>
        <w:overflowPunct/>
        <w:autoSpaceDE/>
        <w:autoSpaceDN/>
        <w:bidi w:val="0"/>
        <w:spacing w:line="560" w:lineRule="exact"/>
        <w:ind w:left="0" w:leftChars="0" w:firstLine="640" w:firstLineChars="200"/>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5.邯郸经济社会高质量发展研究</w:t>
      </w:r>
    </w:p>
    <w:p>
      <w:pPr>
        <w:keepNext w:val="0"/>
        <w:keepLines w:val="0"/>
        <w:pageBreakBefore w:val="0"/>
        <w:numPr>
          <w:ilvl w:val="0"/>
          <w:numId w:val="0"/>
        </w:numPr>
        <w:kinsoku/>
        <w:wordWrap/>
        <w:overflowPunct/>
        <w:autoSpaceDE/>
        <w:autoSpaceDN/>
        <w:bidi w:val="0"/>
        <w:spacing w:line="560" w:lineRule="exact"/>
        <w:ind w:left="0" w:leftChars="0" w:firstLine="640" w:firstLineChars="200"/>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6.提升高质量投资和项目建设研究</w:t>
      </w:r>
    </w:p>
    <w:p>
      <w:pPr>
        <w:keepNext w:val="0"/>
        <w:keepLines w:val="0"/>
        <w:pageBreakBefore w:val="0"/>
        <w:numPr>
          <w:ilvl w:val="0"/>
          <w:numId w:val="0"/>
        </w:numPr>
        <w:kinsoku/>
        <w:wordWrap/>
        <w:overflowPunct/>
        <w:autoSpaceDE/>
        <w:autoSpaceDN/>
        <w:bidi w:val="0"/>
        <w:spacing w:line="560" w:lineRule="exact"/>
        <w:ind w:left="0" w:leftChars="0" w:firstLine="640" w:firstLineChars="200"/>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7.提升招商引资实效研究</w:t>
      </w:r>
    </w:p>
    <w:p>
      <w:pPr>
        <w:keepNext w:val="0"/>
        <w:keepLines w:val="0"/>
        <w:pageBreakBefore w:val="0"/>
        <w:numPr>
          <w:ilvl w:val="0"/>
          <w:numId w:val="0"/>
        </w:numPr>
        <w:kinsoku/>
        <w:wordWrap/>
        <w:overflowPunct/>
        <w:autoSpaceDE/>
        <w:autoSpaceDN/>
        <w:bidi w:val="0"/>
        <w:spacing w:line="560" w:lineRule="exact"/>
        <w:ind w:left="0" w:leftChars="0" w:firstLine="640" w:firstLineChars="200"/>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8.邯郸市主导产业链精准招商对策研究</w:t>
      </w:r>
    </w:p>
    <w:p>
      <w:pPr>
        <w:keepNext w:val="0"/>
        <w:keepLines w:val="0"/>
        <w:pageBreakBefore w:val="0"/>
        <w:numPr>
          <w:ilvl w:val="0"/>
          <w:numId w:val="0"/>
        </w:numPr>
        <w:kinsoku/>
        <w:wordWrap/>
        <w:overflowPunct/>
        <w:autoSpaceDE/>
        <w:autoSpaceDN/>
        <w:bidi w:val="0"/>
        <w:spacing w:line="560" w:lineRule="exact"/>
        <w:ind w:left="0" w:leftChars="0" w:firstLine="640" w:firstLineChars="200"/>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9.全面提升开发区能级和水平研究</w:t>
      </w:r>
    </w:p>
    <w:p>
      <w:pPr>
        <w:keepNext w:val="0"/>
        <w:keepLines w:val="0"/>
        <w:pageBreakBefore w:val="0"/>
        <w:numPr>
          <w:ilvl w:val="0"/>
          <w:numId w:val="0"/>
        </w:numPr>
        <w:kinsoku/>
        <w:wordWrap/>
        <w:overflowPunct/>
        <w:autoSpaceDE/>
        <w:autoSpaceDN/>
        <w:bidi w:val="0"/>
        <w:spacing w:line="560" w:lineRule="exact"/>
        <w:ind w:left="0" w:leftChars="0" w:firstLine="642" w:firstLineChars="200"/>
        <w:textAlignment w:val="auto"/>
        <w:rPr>
          <w:rFonts w:hint="eastAsia" w:ascii="楷体_GB2312" w:hAnsi="楷体_GB2312" w:eastAsia="楷体_GB2312" w:cs="楷体_GB2312"/>
          <w:b/>
          <w:bCs/>
          <w:sz w:val="32"/>
          <w:szCs w:val="32"/>
          <w:u w:val="none"/>
          <w:lang w:val="en-US" w:eastAsia="zh-CN"/>
        </w:rPr>
      </w:pPr>
      <w:r>
        <w:rPr>
          <w:rFonts w:hint="eastAsia" w:ascii="楷体_GB2312" w:hAnsi="楷体_GB2312" w:eastAsia="楷体_GB2312" w:cs="楷体_GB2312"/>
          <w:b/>
          <w:bCs/>
          <w:sz w:val="32"/>
          <w:szCs w:val="32"/>
          <w:u w:val="none"/>
          <w:lang w:val="en-US" w:eastAsia="zh-CN"/>
        </w:rPr>
        <w:t>（二）加快构建迭代更新、多元支撑的现代化产业场景方面</w:t>
      </w:r>
    </w:p>
    <w:p>
      <w:pPr>
        <w:keepNext w:val="0"/>
        <w:keepLines w:val="0"/>
        <w:pageBreakBefore w:val="0"/>
        <w:numPr>
          <w:ilvl w:val="0"/>
          <w:numId w:val="0"/>
        </w:numPr>
        <w:kinsoku/>
        <w:wordWrap/>
        <w:overflowPunct/>
        <w:autoSpaceDE/>
        <w:autoSpaceDN/>
        <w:bidi w:val="0"/>
        <w:spacing w:line="560" w:lineRule="exact"/>
        <w:ind w:left="0" w:leftChars="0" w:firstLine="640" w:firstLineChars="200"/>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10.进一步加快“532”主导产业发展步伐，构建现代产业体系研究</w:t>
      </w:r>
    </w:p>
    <w:p>
      <w:pPr>
        <w:keepNext w:val="0"/>
        <w:keepLines w:val="0"/>
        <w:pageBreakBefore w:val="0"/>
        <w:numPr>
          <w:ilvl w:val="0"/>
          <w:numId w:val="0"/>
        </w:numPr>
        <w:kinsoku/>
        <w:wordWrap/>
        <w:overflowPunct/>
        <w:autoSpaceDE/>
        <w:autoSpaceDN/>
        <w:bidi w:val="0"/>
        <w:spacing w:line="560" w:lineRule="exact"/>
        <w:ind w:left="0" w:leftChars="0" w:firstLine="640" w:firstLineChars="200"/>
        <w:textAlignment w:val="auto"/>
        <w:rPr>
          <w:rFonts w:hint="default"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11.先进制造业集群发展研究</w:t>
      </w:r>
    </w:p>
    <w:p>
      <w:pPr>
        <w:keepNext w:val="0"/>
        <w:keepLines w:val="0"/>
        <w:pageBreakBefore w:val="0"/>
        <w:numPr>
          <w:ilvl w:val="0"/>
          <w:numId w:val="0"/>
        </w:numPr>
        <w:kinsoku/>
        <w:wordWrap/>
        <w:overflowPunct/>
        <w:autoSpaceDE/>
        <w:autoSpaceDN/>
        <w:bidi w:val="0"/>
        <w:spacing w:line="560" w:lineRule="exact"/>
        <w:ind w:left="0" w:leftChars="0" w:firstLine="640" w:firstLineChars="200"/>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12.推动产业全链条发展研究</w:t>
      </w:r>
    </w:p>
    <w:p>
      <w:pPr>
        <w:keepNext w:val="0"/>
        <w:keepLines w:val="0"/>
        <w:pageBreakBefore w:val="0"/>
        <w:numPr>
          <w:ilvl w:val="0"/>
          <w:numId w:val="0"/>
        </w:numPr>
        <w:kinsoku/>
        <w:wordWrap/>
        <w:overflowPunct/>
        <w:autoSpaceDE/>
        <w:autoSpaceDN/>
        <w:bidi w:val="0"/>
        <w:spacing w:line="560" w:lineRule="exact"/>
        <w:ind w:left="0" w:leftChars="0" w:firstLine="640" w:firstLineChars="200"/>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13.深化邯郸数字经济与实体经济高度融合研究</w:t>
      </w:r>
    </w:p>
    <w:p>
      <w:pPr>
        <w:keepNext w:val="0"/>
        <w:keepLines w:val="0"/>
        <w:pageBreakBefore w:val="0"/>
        <w:numPr>
          <w:ilvl w:val="0"/>
          <w:numId w:val="0"/>
        </w:numPr>
        <w:kinsoku/>
        <w:wordWrap/>
        <w:overflowPunct/>
        <w:autoSpaceDE/>
        <w:autoSpaceDN/>
        <w:bidi w:val="0"/>
        <w:spacing w:line="560" w:lineRule="exact"/>
        <w:ind w:left="0" w:leftChars="0" w:firstLine="640" w:firstLineChars="200"/>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14.现代服务业扩容增效、创新发展研究</w:t>
      </w:r>
    </w:p>
    <w:p>
      <w:pPr>
        <w:keepNext w:val="0"/>
        <w:keepLines w:val="0"/>
        <w:pageBreakBefore w:val="0"/>
        <w:numPr>
          <w:ilvl w:val="0"/>
          <w:numId w:val="0"/>
        </w:numPr>
        <w:kinsoku/>
        <w:wordWrap/>
        <w:overflowPunct/>
        <w:autoSpaceDE/>
        <w:autoSpaceDN/>
        <w:bidi w:val="0"/>
        <w:spacing w:line="560" w:lineRule="exact"/>
        <w:ind w:left="0" w:leftChars="0" w:firstLine="642" w:firstLineChars="200"/>
        <w:textAlignment w:val="auto"/>
        <w:rPr>
          <w:rFonts w:hint="eastAsia" w:ascii="楷体_GB2312" w:hAnsi="楷体_GB2312" w:eastAsia="楷体_GB2312" w:cs="楷体_GB2312"/>
          <w:b/>
          <w:bCs/>
          <w:sz w:val="32"/>
          <w:szCs w:val="32"/>
          <w:u w:val="none"/>
          <w:lang w:val="en-US" w:eastAsia="zh-CN"/>
        </w:rPr>
      </w:pPr>
      <w:r>
        <w:rPr>
          <w:rFonts w:hint="eastAsia" w:ascii="楷体_GB2312" w:hAnsi="楷体_GB2312" w:eastAsia="楷体_GB2312" w:cs="楷体_GB2312"/>
          <w:b/>
          <w:bCs/>
          <w:sz w:val="32"/>
          <w:szCs w:val="32"/>
          <w:u w:val="none"/>
          <w:lang w:val="en-US" w:eastAsia="zh-CN"/>
        </w:rPr>
        <w:t>（三）加快构建科技引领、活力迸发的多维度创新场景</w:t>
      </w:r>
    </w:p>
    <w:p>
      <w:pPr>
        <w:keepNext w:val="0"/>
        <w:keepLines w:val="0"/>
        <w:pageBreakBefore w:val="0"/>
        <w:numPr>
          <w:ilvl w:val="0"/>
          <w:numId w:val="0"/>
        </w:numPr>
        <w:kinsoku/>
        <w:wordWrap/>
        <w:overflowPunct/>
        <w:autoSpaceDE/>
        <w:autoSpaceDN/>
        <w:bidi w:val="0"/>
        <w:spacing w:line="560" w:lineRule="exact"/>
        <w:ind w:left="0" w:leftChars="0" w:firstLine="640" w:firstLineChars="200"/>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15.</w:t>
      </w:r>
      <w:r>
        <w:rPr>
          <w:rFonts w:hint="default" w:ascii="仿宋_GB2312" w:hAnsi="仿宋_GB2312" w:eastAsia="仿宋_GB2312" w:cs="仿宋_GB2312"/>
          <w:sz w:val="32"/>
          <w:szCs w:val="32"/>
          <w:u w:val="none"/>
          <w:lang w:val="en-US" w:eastAsia="zh-CN"/>
        </w:rPr>
        <w:t>加快建成具有区域重要影响力的国家创新型城市</w:t>
      </w:r>
      <w:r>
        <w:rPr>
          <w:rFonts w:hint="eastAsia" w:ascii="仿宋_GB2312" w:hAnsi="仿宋_GB2312" w:eastAsia="仿宋_GB2312" w:cs="仿宋_GB2312"/>
          <w:sz w:val="32"/>
          <w:szCs w:val="32"/>
          <w:u w:val="none"/>
          <w:lang w:val="en-US" w:eastAsia="zh-CN"/>
        </w:rPr>
        <w:t>研究</w:t>
      </w:r>
    </w:p>
    <w:p>
      <w:pPr>
        <w:keepNext w:val="0"/>
        <w:keepLines w:val="0"/>
        <w:pageBreakBefore w:val="0"/>
        <w:numPr>
          <w:ilvl w:val="0"/>
          <w:numId w:val="0"/>
        </w:numPr>
        <w:kinsoku/>
        <w:wordWrap/>
        <w:overflowPunct/>
        <w:autoSpaceDE/>
        <w:autoSpaceDN/>
        <w:bidi w:val="0"/>
        <w:spacing w:line="560" w:lineRule="exact"/>
        <w:ind w:left="0" w:leftChars="0" w:firstLine="640" w:firstLineChars="200"/>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16.邯郸深入实施人才强市战略、创新驱动发展战略研究</w:t>
      </w:r>
    </w:p>
    <w:p>
      <w:pPr>
        <w:keepNext w:val="0"/>
        <w:keepLines w:val="0"/>
        <w:pageBreakBefore w:val="0"/>
        <w:numPr>
          <w:ilvl w:val="0"/>
          <w:numId w:val="0"/>
        </w:numPr>
        <w:kinsoku/>
        <w:wordWrap/>
        <w:overflowPunct/>
        <w:autoSpaceDE/>
        <w:autoSpaceDN/>
        <w:bidi w:val="0"/>
        <w:spacing w:line="560" w:lineRule="exact"/>
        <w:ind w:left="0" w:leftChars="0" w:firstLine="640" w:firstLineChars="200"/>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17.基于京津冀协同创新共同体建设的邯郸市创新创业体系构建与发展研究</w:t>
      </w:r>
    </w:p>
    <w:p>
      <w:pPr>
        <w:keepNext w:val="0"/>
        <w:keepLines w:val="0"/>
        <w:pageBreakBefore w:val="0"/>
        <w:numPr>
          <w:ilvl w:val="0"/>
          <w:numId w:val="0"/>
        </w:numPr>
        <w:kinsoku/>
        <w:wordWrap/>
        <w:overflowPunct/>
        <w:autoSpaceDE/>
        <w:autoSpaceDN/>
        <w:bidi w:val="0"/>
        <w:spacing w:line="560" w:lineRule="exact"/>
        <w:ind w:left="0" w:leftChars="0" w:firstLine="640" w:firstLineChars="200"/>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18.加强高层次人才培养和引进研究</w:t>
      </w:r>
    </w:p>
    <w:p>
      <w:pPr>
        <w:keepNext w:val="0"/>
        <w:keepLines w:val="0"/>
        <w:pageBreakBefore w:val="0"/>
        <w:numPr>
          <w:ilvl w:val="0"/>
          <w:numId w:val="0"/>
        </w:numPr>
        <w:kinsoku/>
        <w:wordWrap/>
        <w:overflowPunct/>
        <w:autoSpaceDE/>
        <w:autoSpaceDN/>
        <w:bidi w:val="0"/>
        <w:spacing w:line="560" w:lineRule="exact"/>
        <w:ind w:left="0" w:leftChars="0" w:firstLine="640" w:firstLineChars="200"/>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19.高</w:t>
      </w:r>
      <w:bookmarkStart w:id="0" w:name="_GoBack"/>
      <w:bookmarkEnd w:id="0"/>
      <w:r>
        <w:rPr>
          <w:rFonts w:hint="eastAsia" w:ascii="仿宋_GB2312" w:hAnsi="仿宋_GB2312" w:eastAsia="仿宋_GB2312" w:cs="仿宋_GB2312"/>
          <w:sz w:val="32"/>
          <w:szCs w:val="32"/>
          <w:u w:val="none"/>
          <w:lang w:val="en-US" w:eastAsia="zh-CN"/>
        </w:rPr>
        <w:t>水平区域科技创新中心、高能级创新平台建设研究</w:t>
      </w:r>
    </w:p>
    <w:p>
      <w:pPr>
        <w:keepNext w:val="0"/>
        <w:keepLines w:val="0"/>
        <w:pageBreakBefore w:val="0"/>
        <w:numPr>
          <w:ilvl w:val="0"/>
          <w:numId w:val="0"/>
        </w:numPr>
        <w:kinsoku/>
        <w:wordWrap/>
        <w:overflowPunct/>
        <w:autoSpaceDE/>
        <w:autoSpaceDN/>
        <w:bidi w:val="0"/>
        <w:spacing w:line="560" w:lineRule="exact"/>
        <w:ind w:left="0" w:leftChars="0" w:firstLine="640" w:firstLineChars="200"/>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20.提升邯郸企业科技创新能力和竞争力研究</w:t>
      </w:r>
    </w:p>
    <w:p>
      <w:pPr>
        <w:keepNext w:val="0"/>
        <w:keepLines w:val="0"/>
        <w:pageBreakBefore w:val="0"/>
        <w:numPr>
          <w:ilvl w:val="0"/>
          <w:numId w:val="0"/>
        </w:numPr>
        <w:kinsoku/>
        <w:wordWrap/>
        <w:overflowPunct/>
        <w:autoSpaceDE/>
        <w:autoSpaceDN/>
        <w:bidi w:val="0"/>
        <w:spacing w:line="560" w:lineRule="exact"/>
        <w:ind w:left="0" w:leftChars="0" w:firstLine="640" w:firstLineChars="200"/>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21.持续推动城市更新，提升城市精细化管理水平研究</w:t>
      </w:r>
    </w:p>
    <w:p>
      <w:pPr>
        <w:keepNext w:val="0"/>
        <w:keepLines w:val="0"/>
        <w:pageBreakBefore w:val="0"/>
        <w:numPr>
          <w:ilvl w:val="0"/>
          <w:numId w:val="0"/>
        </w:numPr>
        <w:kinsoku/>
        <w:wordWrap/>
        <w:overflowPunct/>
        <w:autoSpaceDE/>
        <w:autoSpaceDN/>
        <w:bidi w:val="0"/>
        <w:spacing w:line="560" w:lineRule="exact"/>
        <w:ind w:left="0" w:leftChars="0" w:firstLine="642" w:firstLineChars="200"/>
        <w:textAlignment w:val="auto"/>
        <w:rPr>
          <w:rFonts w:hint="eastAsia" w:ascii="楷体_GB2312" w:hAnsi="楷体_GB2312" w:eastAsia="楷体_GB2312" w:cs="楷体_GB2312"/>
          <w:b/>
          <w:bCs/>
          <w:sz w:val="32"/>
          <w:szCs w:val="32"/>
          <w:u w:val="none"/>
          <w:lang w:val="en-US" w:eastAsia="zh-CN"/>
        </w:rPr>
      </w:pPr>
      <w:r>
        <w:rPr>
          <w:rFonts w:hint="eastAsia" w:ascii="楷体_GB2312" w:hAnsi="楷体_GB2312" w:eastAsia="楷体_GB2312" w:cs="楷体_GB2312"/>
          <w:b/>
          <w:bCs/>
          <w:sz w:val="32"/>
          <w:szCs w:val="32"/>
          <w:u w:val="none"/>
          <w:lang w:val="en-US" w:eastAsia="zh-CN"/>
        </w:rPr>
        <w:t>（四）加快构建服务集成、资源集聚的全方位开放场景。</w:t>
      </w:r>
    </w:p>
    <w:p>
      <w:pPr>
        <w:keepNext w:val="0"/>
        <w:keepLines w:val="0"/>
        <w:pageBreakBefore w:val="0"/>
        <w:numPr>
          <w:ilvl w:val="0"/>
          <w:numId w:val="0"/>
        </w:numPr>
        <w:kinsoku/>
        <w:wordWrap/>
        <w:overflowPunct/>
        <w:autoSpaceDE/>
        <w:autoSpaceDN/>
        <w:bidi w:val="0"/>
        <w:spacing w:line="560" w:lineRule="exact"/>
        <w:ind w:left="0" w:leftChars="0" w:firstLine="640" w:firstLineChars="200"/>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22.深化重点领域改革研究</w:t>
      </w:r>
    </w:p>
    <w:p>
      <w:pPr>
        <w:keepNext w:val="0"/>
        <w:keepLines w:val="0"/>
        <w:pageBreakBefore w:val="0"/>
        <w:numPr>
          <w:ilvl w:val="0"/>
          <w:numId w:val="0"/>
        </w:numPr>
        <w:kinsoku/>
        <w:wordWrap/>
        <w:overflowPunct/>
        <w:autoSpaceDE/>
        <w:autoSpaceDN/>
        <w:bidi w:val="0"/>
        <w:spacing w:line="560" w:lineRule="exact"/>
        <w:ind w:left="0" w:leftChars="0" w:firstLine="640" w:firstLineChars="200"/>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23.持续扩大高水平对外开放研究</w:t>
      </w:r>
    </w:p>
    <w:p>
      <w:pPr>
        <w:keepNext w:val="0"/>
        <w:keepLines w:val="0"/>
        <w:pageBreakBefore w:val="0"/>
        <w:numPr>
          <w:ilvl w:val="0"/>
          <w:numId w:val="0"/>
        </w:numPr>
        <w:kinsoku/>
        <w:wordWrap/>
        <w:overflowPunct/>
        <w:autoSpaceDE/>
        <w:autoSpaceDN/>
        <w:bidi w:val="0"/>
        <w:spacing w:line="560" w:lineRule="exact"/>
        <w:ind w:left="0" w:leftChars="0" w:firstLine="640" w:firstLineChars="200"/>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24.进一步优化营商环境,激发各类市场主体活力研究</w:t>
      </w:r>
    </w:p>
    <w:p>
      <w:pPr>
        <w:keepNext w:val="0"/>
        <w:keepLines w:val="0"/>
        <w:pageBreakBefore w:val="0"/>
        <w:numPr>
          <w:ilvl w:val="0"/>
          <w:numId w:val="0"/>
        </w:numPr>
        <w:kinsoku/>
        <w:wordWrap/>
        <w:overflowPunct/>
        <w:autoSpaceDE/>
        <w:autoSpaceDN/>
        <w:bidi w:val="0"/>
        <w:spacing w:line="560" w:lineRule="exact"/>
        <w:ind w:left="0" w:leftChars="0" w:firstLine="640" w:firstLineChars="200"/>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25.培育壮大新型消费，全面释放消费潜力研究</w:t>
      </w:r>
    </w:p>
    <w:p>
      <w:pPr>
        <w:keepNext w:val="0"/>
        <w:keepLines w:val="0"/>
        <w:pageBreakBefore w:val="0"/>
        <w:numPr>
          <w:ilvl w:val="0"/>
          <w:numId w:val="0"/>
        </w:numPr>
        <w:kinsoku/>
        <w:wordWrap/>
        <w:overflowPunct/>
        <w:autoSpaceDE/>
        <w:autoSpaceDN/>
        <w:bidi w:val="0"/>
        <w:spacing w:line="560" w:lineRule="exact"/>
        <w:ind w:left="0" w:leftChars="0" w:firstLine="640" w:firstLineChars="200"/>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26.优化全市国有经济布局、激发民营经济活力研究</w:t>
      </w:r>
    </w:p>
    <w:p>
      <w:pPr>
        <w:keepNext w:val="0"/>
        <w:keepLines w:val="0"/>
        <w:pageBreakBefore w:val="0"/>
        <w:numPr>
          <w:ilvl w:val="0"/>
          <w:numId w:val="0"/>
        </w:numPr>
        <w:kinsoku/>
        <w:wordWrap/>
        <w:overflowPunct/>
        <w:autoSpaceDE/>
        <w:autoSpaceDN/>
        <w:bidi w:val="0"/>
        <w:spacing w:line="560" w:lineRule="exact"/>
        <w:ind w:left="0" w:leftChars="0" w:firstLine="642" w:firstLineChars="200"/>
        <w:textAlignment w:val="auto"/>
        <w:rPr>
          <w:rFonts w:hint="eastAsia" w:ascii="楷体_GB2312" w:hAnsi="楷体_GB2312" w:eastAsia="楷体_GB2312" w:cs="楷体_GB2312"/>
          <w:b/>
          <w:bCs/>
          <w:sz w:val="32"/>
          <w:szCs w:val="32"/>
          <w:u w:val="none"/>
          <w:lang w:val="en-US" w:eastAsia="zh-CN"/>
        </w:rPr>
      </w:pPr>
      <w:r>
        <w:rPr>
          <w:rFonts w:hint="eastAsia" w:ascii="楷体_GB2312" w:hAnsi="楷体_GB2312" w:eastAsia="楷体_GB2312" w:cs="楷体_GB2312"/>
          <w:b/>
          <w:bCs/>
          <w:sz w:val="32"/>
          <w:szCs w:val="32"/>
          <w:u w:val="none"/>
          <w:lang w:val="en-US" w:eastAsia="zh-CN"/>
        </w:rPr>
        <w:t>（五）加快构建城市宜居、乡村和美的一体化城乡场景</w:t>
      </w:r>
    </w:p>
    <w:p>
      <w:pPr>
        <w:keepNext w:val="0"/>
        <w:keepLines w:val="0"/>
        <w:pageBreakBefore w:val="0"/>
        <w:numPr>
          <w:ilvl w:val="0"/>
          <w:numId w:val="0"/>
        </w:numPr>
        <w:kinsoku/>
        <w:wordWrap/>
        <w:overflowPunct/>
        <w:autoSpaceDE/>
        <w:autoSpaceDN/>
        <w:bidi w:val="0"/>
        <w:spacing w:line="560" w:lineRule="exact"/>
        <w:ind w:left="0" w:leftChars="0" w:firstLine="640" w:firstLineChars="200"/>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27.加快邯郸新型城镇化和城乡融合发展研究</w:t>
      </w:r>
    </w:p>
    <w:p>
      <w:pPr>
        <w:keepNext w:val="0"/>
        <w:keepLines w:val="0"/>
        <w:pageBreakBefore w:val="0"/>
        <w:numPr>
          <w:ilvl w:val="0"/>
          <w:numId w:val="0"/>
        </w:numPr>
        <w:kinsoku/>
        <w:wordWrap/>
        <w:overflowPunct/>
        <w:autoSpaceDE/>
        <w:autoSpaceDN/>
        <w:bidi w:val="0"/>
        <w:spacing w:line="560" w:lineRule="exact"/>
        <w:ind w:left="0" w:leftChars="0" w:firstLine="640" w:firstLineChars="200"/>
        <w:textAlignment w:val="auto"/>
        <w:rPr>
          <w:rFonts w:hint="default"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28.</w:t>
      </w:r>
      <w:r>
        <w:rPr>
          <w:rFonts w:hint="default" w:ascii="仿宋_GB2312" w:hAnsi="仿宋_GB2312" w:eastAsia="仿宋_GB2312" w:cs="仿宋_GB2312"/>
          <w:sz w:val="32"/>
          <w:szCs w:val="32"/>
          <w:u w:val="none"/>
          <w:lang w:val="en-US" w:eastAsia="zh-CN"/>
        </w:rPr>
        <w:t>乡村振兴中集体经济发展的策略研究</w:t>
      </w:r>
    </w:p>
    <w:p>
      <w:pPr>
        <w:keepNext w:val="0"/>
        <w:keepLines w:val="0"/>
        <w:pageBreakBefore w:val="0"/>
        <w:numPr>
          <w:ilvl w:val="0"/>
          <w:numId w:val="0"/>
        </w:numPr>
        <w:kinsoku/>
        <w:wordWrap/>
        <w:overflowPunct/>
        <w:autoSpaceDE/>
        <w:autoSpaceDN/>
        <w:bidi w:val="0"/>
        <w:spacing w:line="560" w:lineRule="exact"/>
        <w:ind w:left="0" w:leftChars="0" w:firstLine="640" w:firstLineChars="200"/>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29.推动农业规模化、产业化、绿色化、品牌化研究</w:t>
      </w:r>
    </w:p>
    <w:p>
      <w:pPr>
        <w:keepNext w:val="0"/>
        <w:keepLines w:val="0"/>
        <w:pageBreakBefore w:val="0"/>
        <w:numPr>
          <w:ilvl w:val="0"/>
          <w:numId w:val="0"/>
        </w:numPr>
        <w:kinsoku/>
        <w:wordWrap/>
        <w:overflowPunct/>
        <w:autoSpaceDE/>
        <w:autoSpaceDN/>
        <w:bidi w:val="0"/>
        <w:spacing w:line="560" w:lineRule="exact"/>
        <w:ind w:left="0" w:leftChars="0" w:firstLine="640" w:firstLineChars="200"/>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30.大力发展设施农业、高效农业、绿色农业、品牌农业，培育新型农业经营主体研究</w:t>
      </w:r>
    </w:p>
    <w:p>
      <w:pPr>
        <w:keepNext w:val="0"/>
        <w:keepLines w:val="0"/>
        <w:pageBreakBefore w:val="0"/>
        <w:numPr>
          <w:ilvl w:val="0"/>
          <w:numId w:val="0"/>
        </w:numPr>
        <w:kinsoku/>
        <w:wordWrap/>
        <w:overflowPunct/>
        <w:autoSpaceDE/>
        <w:autoSpaceDN/>
        <w:bidi w:val="0"/>
        <w:spacing w:line="560" w:lineRule="exact"/>
        <w:ind w:left="0" w:leftChars="0" w:firstLine="640" w:firstLineChars="200"/>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31.深化乡村法治、德治建设，培育文明乡风、良好家风、淳朴民风研究</w:t>
      </w:r>
    </w:p>
    <w:p>
      <w:pPr>
        <w:keepNext w:val="0"/>
        <w:keepLines w:val="0"/>
        <w:pageBreakBefore w:val="0"/>
        <w:numPr>
          <w:ilvl w:val="0"/>
          <w:numId w:val="0"/>
        </w:numPr>
        <w:kinsoku/>
        <w:wordWrap/>
        <w:overflowPunct/>
        <w:autoSpaceDE/>
        <w:autoSpaceDN/>
        <w:bidi w:val="0"/>
        <w:spacing w:line="560" w:lineRule="exact"/>
        <w:ind w:left="0" w:leftChars="0" w:firstLine="640" w:firstLineChars="200"/>
        <w:textAlignment w:val="auto"/>
        <w:rPr>
          <w:rFonts w:hint="default"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32.</w:t>
      </w:r>
      <w:r>
        <w:rPr>
          <w:rFonts w:hint="default" w:ascii="仿宋_GB2312" w:hAnsi="仿宋_GB2312" w:eastAsia="仿宋_GB2312" w:cs="仿宋_GB2312"/>
          <w:sz w:val="32"/>
          <w:szCs w:val="32"/>
          <w:u w:val="none"/>
          <w:lang w:val="en-US" w:eastAsia="zh-CN"/>
        </w:rPr>
        <w:t>乡村治理现代化与乡村振兴研究</w:t>
      </w:r>
    </w:p>
    <w:p>
      <w:pPr>
        <w:keepNext w:val="0"/>
        <w:keepLines w:val="0"/>
        <w:pageBreakBefore w:val="0"/>
        <w:numPr>
          <w:ilvl w:val="0"/>
          <w:numId w:val="0"/>
        </w:numPr>
        <w:kinsoku/>
        <w:wordWrap/>
        <w:overflowPunct/>
        <w:autoSpaceDE/>
        <w:autoSpaceDN/>
        <w:bidi w:val="0"/>
        <w:spacing w:line="560" w:lineRule="exact"/>
        <w:ind w:left="0" w:leftChars="0" w:firstLine="642" w:firstLineChars="200"/>
        <w:textAlignment w:val="auto"/>
        <w:rPr>
          <w:rFonts w:hint="eastAsia" w:ascii="楷体_GB2312" w:hAnsi="楷体_GB2312" w:eastAsia="楷体_GB2312" w:cs="楷体_GB2312"/>
          <w:b/>
          <w:bCs/>
          <w:sz w:val="32"/>
          <w:szCs w:val="32"/>
          <w:u w:val="none"/>
          <w:lang w:val="en-US" w:eastAsia="zh-CN"/>
        </w:rPr>
      </w:pPr>
      <w:r>
        <w:rPr>
          <w:rFonts w:hint="eastAsia" w:ascii="楷体_GB2312" w:hAnsi="楷体_GB2312" w:eastAsia="楷体_GB2312" w:cs="楷体_GB2312"/>
          <w:b/>
          <w:bCs/>
          <w:sz w:val="32"/>
          <w:szCs w:val="32"/>
          <w:u w:val="none"/>
          <w:lang w:val="en-US" w:eastAsia="zh-CN"/>
        </w:rPr>
        <w:t>（六）加快构建天蓝地绿、山清水秀的低碳型生态场景</w:t>
      </w:r>
    </w:p>
    <w:p>
      <w:pPr>
        <w:keepNext w:val="0"/>
        <w:keepLines w:val="0"/>
        <w:pageBreakBefore w:val="0"/>
        <w:numPr>
          <w:ilvl w:val="0"/>
          <w:numId w:val="0"/>
        </w:numPr>
        <w:kinsoku/>
        <w:wordWrap/>
        <w:overflowPunct/>
        <w:autoSpaceDE/>
        <w:autoSpaceDN/>
        <w:bidi w:val="0"/>
        <w:spacing w:line="560" w:lineRule="exact"/>
        <w:ind w:left="0" w:leftChars="0" w:firstLine="640" w:firstLineChars="200"/>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33.碳达峰、碳中和背景下推进邯郸全面绿色转型发展研究</w:t>
      </w:r>
    </w:p>
    <w:p>
      <w:pPr>
        <w:keepNext w:val="0"/>
        <w:keepLines w:val="0"/>
        <w:pageBreakBefore w:val="0"/>
        <w:numPr>
          <w:ilvl w:val="0"/>
          <w:numId w:val="0"/>
        </w:numPr>
        <w:kinsoku/>
        <w:wordWrap/>
        <w:overflowPunct/>
        <w:autoSpaceDE/>
        <w:autoSpaceDN/>
        <w:bidi w:val="0"/>
        <w:spacing w:line="560" w:lineRule="exact"/>
        <w:ind w:left="0" w:leftChars="0" w:firstLine="640" w:firstLineChars="200"/>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34.深化邯郸生态文明建设研究</w:t>
      </w:r>
    </w:p>
    <w:p>
      <w:pPr>
        <w:keepNext w:val="0"/>
        <w:keepLines w:val="0"/>
        <w:pageBreakBefore w:val="0"/>
        <w:numPr>
          <w:ilvl w:val="0"/>
          <w:numId w:val="0"/>
        </w:numPr>
        <w:kinsoku/>
        <w:wordWrap/>
        <w:overflowPunct/>
        <w:autoSpaceDE/>
        <w:autoSpaceDN/>
        <w:bidi w:val="0"/>
        <w:spacing w:line="560" w:lineRule="exact"/>
        <w:ind w:left="0" w:leftChars="0" w:firstLine="640" w:firstLineChars="200"/>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35.推进碳达峰碳中和路径研究</w:t>
      </w:r>
    </w:p>
    <w:p>
      <w:pPr>
        <w:keepNext w:val="0"/>
        <w:keepLines w:val="0"/>
        <w:pageBreakBefore w:val="0"/>
        <w:numPr>
          <w:ilvl w:val="0"/>
          <w:numId w:val="0"/>
        </w:numPr>
        <w:kinsoku/>
        <w:wordWrap/>
        <w:overflowPunct/>
        <w:autoSpaceDE/>
        <w:autoSpaceDN/>
        <w:bidi w:val="0"/>
        <w:spacing w:line="560" w:lineRule="exact"/>
        <w:ind w:left="0" w:leftChars="0" w:firstLine="640" w:firstLineChars="200"/>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36.深入推进污染治理，大幅改善环境质量研究</w:t>
      </w:r>
    </w:p>
    <w:p>
      <w:pPr>
        <w:keepNext w:val="0"/>
        <w:keepLines w:val="0"/>
        <w:pageBreakBefore w:val="0"/>
        <w:numPr>
          <w:ilvl w:val="0"/>
          <w:numId w:val="0"/>
        </w:numPr>
        <w:kinsoku/>
        <w:wordWrap/>
        <w:overflowPunct/>
        <w:autoSpaceDE/>
        <w:autoSpaceDN/>
        <w:bidi w:val="0"/>
        <w:spacing w:line="560" w:lineRule="exact"/>
        <w:ind w:left="0" w:leftChars="0" w:firstLine="640" w:firstLineChars="200"/>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37.县域特色产业提升对策研究</w:t>
      </w:r>
    </w:p>
    <w:p>
      <w:pPr>
        <w:keepNext w:val="0"/>
        <w:keepLines w:val="0"/>
        <w:pageBreakBefore w:val="0"/>
        <w:numPr>
          <w:ilvl w:val="0"/>
          <w:numId w:val="0"/>
        </w:numPr>
        <w:kinsoku/>
        <w:wordWrap/>
        <w:overflowPunct/>
        <w:autoSpaceDE/>
        <w:autoSpaceDN/>
        <w:bidi w:val="0"/>
        <w:spacing w:line="560" w:lineRule="exact"/>
        <w:ind w:left="0" w:leftChars="0" w:firstLine="640" w:firstLineChars="200"/>
        <w:textAlignment w:val="auto"/>
        <w:rPr>
          <w:rFonts w:hint="default"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38.邯郸水环境与生态文化研究</w:t>
      </w:r>
    </w:p>
    <w:p>
      <w:pPr>
        <w:keepNext w:val="0"/>
        <w:keepLines w:val="0"/>
        <w:pageBreakBefore w:val="0"/>
        <w:numPr>
          <w:ilvl w:val="0"/>
          <w:numId w:val="0"/>
        </w:numPr>
        <w:kinsoku/>
        <w:wordWrap/>
        <w:overflowPunct/>
        <w:autoSpaceDE/>
        <w:autoSpaceDN/>
        <w:bidi w:val="0"/>
        <w:spacing w:line="560" w:lineRule="exact"/>
        <w:ind w:left="0" w:leftChars="0" w:firstLine="642" w:firstLineChars="200"/>
        <w:textAlignment w:val="auto"/>
        <w:rPr>
          <w:rFonts w:hint="eastAsia" w:ascii="楷体_GB2312" w:hAnsi="楷体_GB2312" w:eastAsia="楷体_GB2312" w:cs="楷体_GB2312"/>
          <w:b/>
          <w:bCs/>
          <w:sz w:val="32"/>
          <w:szCs w:val="32"/>
          <w:u w:val="none"/>
          <w:lang w:val="en-US" w:eastAsia="zh-CN"/>
        </w:rPr>
      </w:pPr>
      <w:r>
        <w:rPr>
          <w:rFonts w:hint="eastAsia" w:ascii="楷体_GB2312" w:hAnsi="楷体_GB2312" w:eastAsia="楷体_GB2312" w:cs="楷体_GB2312"/>
          <w:b/>
          <w:bCs/>
          <w:sz w:val="32"/>
          <w:szCs w:val="32"/>
          <w:u w:val="none"/>
          <w:lang w:val="en-US" w:eastAsia="zh-CN"/>
        </w:rPr>
        <w:t>（七）加快构建共同富裕、共建共享的普惠性民生场景</w:t>
      </w:r>
    </w:p>
    <w:p>
      <w:pPr>
        <w:keepNext w:val="0"/>
        <w:keepLines w:val="0"/>
        <w:pageBreakBefore w:val="0"/>
        <w:numPr>
          <w:ilvl w:val="0"/>
          <w:numId w:val="0"/>
        </w:numPr>
        <w:kinsoku/>
        <w:wordWrap/>
        <w:overflowPunct/>
        <w:autoSpaceDE/>
        <w:autoSpaceDN/>
        <w:bidi w:val="0"/>
        <w:spacing w:line="560" w:lineRule="exact"/>
        <w:ind w:left="0" w:leftChars="0" w:firstLine="640" w:firstLineChars="200"/>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39.邯郸加速民生改善、推动共享发展重大理论和现实问题研究</w:t>
      </w:r>
    </w:p>
    <w:p>
      <w:pPr>
        <w:keepNext w:val="0"/>
        <w:keepLines w:val="0"/>
        <w:pageBreakBefore w:val="0"/>
        <w:numPr>
          <w:ilvl w:val="0"/>
          <w:numId w:val="0"/>
        </w:numPr>
        <w:kinsoku/>
        <w:wordWrap/>
        <w:overflowPunct/>
        <w:autoSpaceDE/>
        <w:autoSpaceDN/>
        <w:bidi w:val="0"/>
        <w:spacing w:line="560" w:lineRule="exact"/>
        <w:ind w:left="0" w:leftChars="0" w:firstLine="640" w:firstLineChars="200"/>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40.提升教育、医疗、养老、住房、生育、就业等社会保障水平研究</w:t>
      </w:r>
    </w:p>
    <w:p>
      <w:pPr>
        <w:keepNext w:val="0"/>
        <w:keepLines w:val="0"/>
        <w:pageBreakBefore w:val="0"/>
        <w:numPr>
          <w:ilvl w:val="0"/>
          <w:numId w:val="0"/>
        </w:numPr>
        <w:kinsoku/>
        <w:wordWrap/>
        <w:overflowPunct/>
        <w:autoSpaceDE/>
        <w:autoSpaceDN/>
        <w:bidi w:val="0"/>
        <w:spacing w:line="560" w:lineRule="exact"/>
        <w:ind w:left="0" w:leftChars="0" w:firstLine="640" w:firstLineChars="200"/>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41.社区服务现代化发展研究</w:t>
      </w:r>
    </w:p>
    <w:p>
      <w:pPr>
        <w:keepNext w:val="0"/>
        <w:keepLines w:val="0"/>
        <w:pageBreakBefore w:val="0"/>
        <w:numPr>
          <w:ilvl w:val="0"/>
          <w:numId w:val="0"/>
        </w:numPr>
        <w:kinsoku/>
        <w:wordWrap/>
        <w:overflowPunct/>
        <w:autoSpaceDE/>
        <w:autoSpaceDN/>
        <w:bidi w:val="0"/>
        <w:spacing w:line="560" w:lineRule="exact"/>
        <w:ind w:left="0" w:leftChars="0" w:firstLine="640" w:firstLineChars="200"/>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42.邯郸地名文化保护与传承研究</w:t>
      </w:r>
    </w:p>
    <w:p>
      <w:pPr>
        <w:keepNext w:val="0"/>
        <w:keepLines w:val="0"/>
        <w:pageBreakBefore w:val="0"/>
        <w:numPr>
          <w:ilvl w:val="0"/>
          <w:numId w:val="0"/>
        </w:numPr>
        <w:kinsoku/>
        <w:wordWrap/>
        <w:overflowPunct/>
        <w:autoSpaceDE/>
        <w:autoSpaceDN/>
        <w:bidi w:val="0"/>
        <w:spacing w:line="560" w:lineRule="exact"/>
        <w:ind w:left="0" w:leftChars="0" w:firstLine="640" w:firstLineChars="200"/>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43.新时代志愿服务高质量发展研究</w:t>
      </w:r>
    </w:p>
    <w:p>
      <w:pPr>
        <w:keepNext w:val="0"/>
        <w:keepLines w:val="0"/>
        <w:pageBreakBefore w:val="0"/>
        <w:numPr>
          <w:ilvl w:val="0"/>
          <w:numId w:val="0"/>
        </w:numPr>
        <w:kinsoku/>
        <w:wordWrap/>
        <w:overflowPunct/>
        <w:autoSpaceDE/>
        <w:autoSpaceDN/>
        <w:bidi w:val="0"/>
        <w:spacing w:line="560" w:lineRule="exact"/>
        <w:ind w:left="0" w:leftChars="0" w:firstLine="640" w:firstLineChars="200"/>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44.优化未成年人保护体系研究</w:t>
      </w:r>
    </w:p>
    <w:p>
      <w:pPr>
        <w:keepNext w:val="0"/>
        <w:keepLines w:val="0"/>
        <w:pageBreakBefore w:val="0"/>
        <w:numPr>
          <w:ilvl w:val="0"/>
          <w:numId w:val="0"/>
        </w:numPr>
        <w:kinsoku/>
        <w:wordWrap/>
        <w:overflowPunct/>
        <w:autoSpaceDE/>
        <w:autoSpaceDN/>
        <w:bidi w:val="0"/>
        <w:spacing w:line="560" w:lineRule="exact"/>
        <w:ind w:left="0" w:leftChars="0" w:firstLine="640" w:firstLineChars="200"/>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45.建立健全加强民政工作的长效机制及对策研究</w:t>
      </w:r>
    </w:p>
    <w:p>
      <w:pPr>
        <w:keepNext w:val="0"/>
        <w:keepLines w:val="0"/>
        <w:pageBreakBefore w:val="0"/>
        <w:numPr>
          <w:ilvl w:val="0"/>
          <w:numId w:val="0"/>
        </w:numPr>
        <w:kinsoku/>
        <w:wordWrap/>
        <w:overflowPunct/>
        <w:autoSpaceDE/>
        <w:autoSpaceDN/>
        <w:bidi w:val="0"/>
        <w:spacing w:line="560" w:lineRule="exact"/>
        <w:ind w:left="0" w:leftChars="0" w:firstLine="640" w:firstLineChars="200"/>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46.邯郸市城乡服务类社会组织现状与发展研究</w:t>
      </w:r>
    </w:p>
    <w:p>
      <w:pPr>
        <w:keepNext w:val="0"/>
        <w:keepLines w:val="0"/>
        <w:pageBreakBefore w:val="0"/>
        <w:numPr>
          <w:ilvl w:val="0"/>
          <w:numId w:val="0"/>
        </w:numPr>
        <w:kinsoku/>
        <w:wordWrap/>
        <w:overflowPunct/>
        <w:autoSpaceDE/>
        <w:autoSpaceDN/>
        <w:bidi w:val="0"/>
        <w:spacing w:line="560" w:lineRule="exact"/>
        <w:ind w:left="0" w:leftChars="0" w:firstLine="640" w:firstLineChars="200"/>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47.中国式现代化背景下慈善事业发展研究</w:t>
      </w:r>
    </w:p>
    <w:p>
      <w:pPr>
        <w:keepNext w:val="0"/>
        <w:keepLines w:val="0"/>
        <w:pageBreakBefore w:val="0"/>
        <w:numPr>
          <w:ilvl w:val="0"/>
          <w:numId w:val="0"/>
        </w:numPr>
        <w:kinsoku/>
        <w:wordWrap/>
        <w:overflowPunct/>
        <w:autoSpaceDE/>
        <w:autoSpaceDN/>
        <w:bidi w:val="0"/>
        <w:spacing w:line="560" w:lineRule="exact"/>
        <w:ind w:left="0" w:leftChars="0" w:firstLine="642" w:firstLineChars="200"/>
        <w:textAlignment w:val="auto"/>
        <w:rPr>
          <w:rFonts w:hint="eastAsia" w:ascii="楷体_GB2312" w:hAnsi="楷体_GB2312" w:eastAsia="楷体_GB2312" w:cs="楷体_GB2312"/>
          <w:b/>
          <w:bCs/>
          <w:sz w:val="32"/>
          <w:szCs w:val="32"/>
          <w:u w:val="none"/>
          <w:lang w:val="en-US" w:eastAsia="zh-CN"/>
        </w:rPr>
      </w:pPr>
      <w:r>
        <w:rPr>
          <w:rFonts w:hint="eastAsia" w:ascii="楷体_GB2312" w:hAnsi="楷体_GB2312" w:eastAsia="楷体_GB2312" w:cs="楷体_GB2312"/>
          <w:b/>
          <w:bCs/>
          <w:sz w:val="32"/>
          <w:szCs w:val="32"/>
          <w:u w:val="none"/>
          <w:lang w:val="en-US" w:eastAsia="zh-CN"/>
        </w:rPr>
        <w:t>（八）加快构建公平正义、安定和谐的法治化平安场景</w:t>
      </w:r>
    </w:p>
    <w:p>
      <w:pPr>
        <w:keepNext w:val="0"/>
        <w:keepLines w:val="0"/>
        <w:pageBreakBefore w:val="0"/>
        <w:widowControl w:val="0"/>
        <w:shd w:val="clear" w:color="auto" w:fill="FFFFFF"/>
        <w:kinsoku/>
        <w:wordWrap/>
        <w:overflowPunct/>
        <w:topLinePunct/>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48.统筹发展和安全、有效防范化解重大风险研究</w:t>
      </w:r>
    </w:p>
    <w:p>
      <w:pPr>
        <w:keepNext w:val="0"/>
        <w:keepLines w:val="0"/>
        <w:pageBreakBefore w:val="0"/>
        <w:numPr>
          <w:ilvl w:val="0"/>
          <w:numId w:val="0"/>
        </w:numPr>
        <w:kinsoku/>
        <w:wordWrap/>
        <w:overflowPunct/>
        <w:autoSpaceDE/>
        <w:autoSpaceDN/>
        <w:bidi w:val="0"/>
        <w:spacing w:line="560" w:lineRule="exact"/>
        <w:ind w:left="0" w:leftChars="0" w:firstLine="640" w:firstLineChars="200"/>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49.推进法治邯郸、法治政府、法治社会建设研究</w:t>
      </w:r>
    </w:p>
    <w:p>
      <w:pPr>
        <w:keepNext w:val="0"/>
        <w:keepLines w:val="0"/>
        <w:pageBreakBefore w:val="0"/>
        <w:widowControl w:val="0"/>
        <w:shd w:val="clear" w:color="auto" w:fill="FFFFFF"/>
        <w:kinsoku/>
        <w:wordWrap/>
        <w:overflowPunct/>
        <w:topLinePunct/>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auto"/>
          <w:sz w:val="32"/>
          <w:szCs w:val="32"/>
          <w:u w:val="none"/>
          <w:lang w:eastAsia="zh-CN"/>
        </w:rPr>
      </w:pPr>
      <w:r>
        <w:rPr>
          <w:rFonts w:hint="eastAsia" w:ascii="仿宋_GB2312" w:hAnsi="仿宋_GB2312" w:eastAsia="仿宋_GB2312" w:cs="仿宋_GB2312"/>
          <w:color w:val="auto"/>
          <w:sz w:val="32"/>
          <w:szCs w:val="32"/>
          <w:u w:val="none"/>
          <w:lang w:val="en-US" w:eastAsia="zh-CN"/>
        </w:rPr>
        <w:t>50.</w:t>
      </w:r>
      <w:r>
        <w:rPr>
          <w:rFonts w:hint="eastAsia" w:ascii="仿宋_GB2312" w:hAnsi="仿宋_GB2312" w:eastAsia="仿宋_GB2312" w:cs="仿宋_GB2312"/>
          <w:color w:val="auto"/>
          <w:sz w:val="32"/>
          <w:szCs w:val="32"/>
          <w:u w:val="none"/>
          <w:lang w:eastAsia="zh-CN"/>
        </w:rPr>
        <w:t>疫情防控、安全生产、社会治理等领域风险防控研究</w:t>
      </w:r>
    </w:p>
    <w:p>
      <w:pPr>
        <w:keepNext w:val="0"/>
        <w:keepLines w:val="0"/>
        <w:pageBreakBefore w:val="0"/>
        <w:widowControl w:val="0"/>
        <w:shd w:val="clear" w:color="auto" w:fill="FFFFFF"/>
        <w:kinsoku/>
        <w:wordWrap/>
        <w:overflowPunct/>
        <w:topLinePunct/>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auto"/>
          <w:sz w:val="32"/>
          <w:szCs w:val="32"/>
          <w:u w:val="none"/>
          <w:lang w:eastAsia="zh-CN"/>
        </w:rPr>
      </w:pPr>
      <w:r>
        <w:rPr>
          <w:rFonts w:hint="eastAsia" w:ascii="仿宋_GB2312" w:hAnsi="仿宋_GB2312" w:eastAsia="仿宋_GB2312" w:cs="仿宋_GB2312"/>
          <w:color w:val="auto"/>
          <w:sz w:val="32"/>
          <w:szCs w:val="32"/>
          <w:u w:val="none"/>
          <w:lang w:val="en-US" w:eastAsia="zh-CN"/>
        </w:rPr>
        <w:t>51.</w:t>
      </w:r>
      <w:r>
        <w:rPr>
          <w:rFonts w:hint="eastAsia" w:ascii="仿宋_GB2312" w:hAnsi="仿宋_GB2312" w:eastAsia="仿宋_GB2312" w:cs="仿宋_GB2312"/>
          <w:color w:val="auto"/>
          <w:sz w:val="32"/>
          <w:szCs w:val="32"/>
          <w:u w:val="none"/>
          <w:lang w:eastAsia="zh-CN"/>
        </w:rPr>
        <w:t>打造适老化改造示范小区建设研究</w:t>
      </w:r>
    </w:p>
    <w:p>
      <w:pPr>
        <w:keepNext w:val="0"/>
        <w:keepLines w:val="0"/>
        <w:pageBreakBefore w:val="0"/>
        <w:widowControl w:val="0"/>
        <w:shd w:val="clear" w:color="auto" w:fill="FFFFFF"/>
        <w:kinsoku/>
        <w:wordWrap/>
        <w:overflowPunct/>
        <w:topLinePunct/>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52.推动社会治理重心下移，夯实基层社会治理基础研究</w:t>
      </w:r>
    </w:p>
    <w:p>
      <w:pPr>
        <w:keepNext w:val="0"/>
        <w:keepLines w:val="0"/>
        <w:pageBreakBefore w:val="0"/>
        <w:widowControl w:val="0"/>
        <w:shd w:val="clear" w:color="auto" w:fill="FFFFFF"/>
        <w:kinsoku/>
        <w:wordWrap/>
        <w:overflowPunct/>
        <w:topLinePunct/>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auto"/>
          <w:sz w:val="32"/>
          <w:szCs w:val="32"/>
          <w:u w:val="none"/>
          <w:lang w:eastAsia="zh-CN"/>
        </w:rPr>
      </w:pPr>
      <w:r>
        <w:rPr>
          <w:rFonts w:hint="eastAsia" w:ascii="仿宋_GB2312" w:hAnsi="仿宋_GB2312" w:eastAsia="仿宋_GB2312" w:cs="仿宋_GB2312"/>
          <w:color w:val="auto"/>
          <w:sz w:val="32"/>
          <w:szCs w:val="32"/>
          <w:u w:val="none"/>
          <w:lang w:val="en-US" w:eastAsia="zh-CN"/>
        </w:rPr>
        <w:t>53.</w:t>
      </w:r>
      <w:r>
        <w:rPr>
          <w:rFonts w:hint="eastAsia" w:ascii="仿宋_GB2312" w:hAnsi="仿宋_GB2312" w:eastAsia="仿宋_GB2312" w:cs="仿宋_GB2312"/>
          <w:color w:val="auto"/>
          <w:sz w:val="32"/>
          <w:szCs w:val="32"/>
          <w:u w:val="none"/>
          <w:lang w:eastAsia="zh-CN"/>
        </w:rPr>
        <w:t>有效防范重点领域风险研究</w:t>
      </w:r>
    </w:p>
    <w:p>
      <w:pPr>
        <w:keepNext w:val="0"/>
        <w:keepLines w:val="0"/>
        <w:pageBreakBefore w:val="0"/>
        <w:numPr>
          <w:ilvl w:val="0"/>
          <w:numId w:val="0"/>
        </w:numPr>
        <w:kinsoku/>
        <w:wordWrap/>
        <w:overflowPunct/>
        <w:autoSpaceDE/>
        <w:autoSpaceDN/>
        <w:bidi w:val="0"/>
        <w:spacing w:line="560" w:lineRule="exact"/>
        <w:ind w:left="0" w:leftChars="0" w:firstLine="640" w:firstLineChars="200"/>
        <w:textAlignment w:val="auto"/>
        <w:rPr>
          <w:rFonts w:hint="eastAsia" w:ascii="方正黑体_GBK" w:hAnsi="方正黑体_GBK" w:eastAsia="方正黑体_GBK" w:cs="方正黑体_GBK"/>
          <w:sz w:val="32"/>
          <w:szCs w:val="32"/>
          <w:u w:val="none"/>
          <w:lang w:val="en-US" w:eastAsia="zh-CN"/>
        </w:rPr>
      </w:pPr>
      <w:r>
        <w:rPr>
          <w:rFonts w:hint="eastAsia" w:ascii="方正黑体_GBK" w:hAnsi="方正黑体_GBK" w:eastAsia="方正黑体_GBK" w:cs="方正黑体_GBK"/>
          <w:sz w:val="32"/>
          <w:szCs w:val="32"/>
          <w:u w:val="none"/>
          <w:lang w:val="en-US" w:eastAsia="zh-CN"/>
        </w:rPr>
        <w:t>三、加强党的建设</w:t>
      </w:r>
    </w:p>
    <w:p>
      <w:pPr>
        <w:keepNext w:val="0"/>
        <w:keepLines w:val="0"/>
        <w:pageBreakBefore w:val="0"/>
        <w:numPr>
          <w:ilvl w:val="0"/>
          <w:numId w:val="0"/>
        </w:numPr>
        <w:kinsoku/>
        <w:wordWrap/>
        <w:overflowPunct/>
        <w:autoSpaceDE/>
        <w:autoSpaceDN/>
        <w:bidi w:val="0"/>
        <w:spacing w:line="560" w:lineRule="exact"/>
        <w:ind w:left="0" w:leftChars="0" w:firstLine="640" w:firstLineChars="200"/>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1.新时期推进党建与业务深度融合研究</w:t>
      </w:r>
    </w:p>
    <w:p>
      <w:pPr>
        <w:keepNext w:val="0"/>
        <w:keepLines w:val="0"/>
        <w:pageBreakBefore w:val="0"/>
        <w:numPr>
          <w:ilvl w:val="0"/>
          <w:numId w:val="0"/>
        </w:numPr>
        <w:kinsoku/>
        <w:wordWrap/>
        <w:overflowPunct/>
        <w:autoSpaceDE/>
        <w:autoSpaceDN/>
        <w:bidi w:val="0"/>
        <w:spacing w:line="560" w:lineRule="exact"/>
        <w:ind w:left="0" w:leftChars="0" w:firstLine="640" w:firstLineChars="200"/>
        <w:textAlignment w:val="auto"/>
        <w:rPr>
          <w:rFonts w:hint="eastAsia" w:ascii="仿宋_GB2312" w:hAnsi="仿宋_GB2312" w:eastAsia="仿宋_GB2312" w:cs="仿宋_GB2312"/>
          <w:kern w:val="0"/>
          <w:sz w:val="32"/>
          <w:szCs w:val="32"/>
          <w:u w:val="none"/>
          <w:lang w:val="en-US" w:eastAsia="zh-CN"/>
        </w:rPr>
      </w:pPr>
      <w:r>
        <w:rPr>
          <w:rFonts w:hint="eastAsia" w:ascii="仿宋_GB2312" w:hAnsi="仿宋_GB2312" w:eastAsia="仿宋_GB2312" w:cs="仿宋_GB2312"/>
          <w:kern w:val="0"/>
          <w:sz w:val="32"/>
          <w:szCs w:val="32"/>
          <w:u w:val="none"/>
          <w:lang w:val="en-US" w:eastAsia="zh-CN"/>
        </w:rPr>
        <w:t>2.机关党建高质量发展研究</w:t>
      </w:r>
    </w:p>
    <w:p>
      <w:pPr>
        <w:keepNext w:val="0"/>
        <w:keepLines w:val="0"/>
        <w:pageBreakBefore w:val="0"/>
        <w:numPr>
          <w:ilvl w:val="0"/>
          <w:numId w:val="0"/>
        </w:numPr>
        <w:kinsoku/>
        <w:wordWrap/>
        <w:overflowPunct/>
        <w:autoSpaceDE/>
        <w:autoSpaceDN/>
        <w:bidi w:val="0"/>
        <w:spacing w:line="560" w:lineRule="exact"/>
        <w:ind w:left="0" w:leftChars="0" w:firstLine="640" w:firstLineChars="200"/>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lang w:val="en-US" w:eastAsia="zh-CN"/>
        </w:rPr>
        <w:t>3.</w:t>
      </w:r>
      <w:r>
        <w:rPr>
          <w:rFonts w:hint="eastAsia" w:ascii="仿宋_GB2312" w:hAnsi="仿宋_GB2312" w:eastAsia="仿宋_GB2312" w:cs="仿宋_GB2312"/>
          <w:sz w:val="32"/>
          <w:szCs w:val="32"/>
          <w:u w:val="none"/>
        </w:rPr>
        <w:t>高校党建</w:t>
      </w:r>
      <w:r>
        <w:rPr>
          <w:rFonts w:hint="eastAsia" w:ascii="仿宋_GB2312" w:hAnsi="仿宋_GB2312" w:eastAsia="仿宋_GB2312" w:cs="仿宋_GB2312"/>
          <w:sz w:val="32"/>
          <w:szCs w:val="32"/>
          <w:u w:val="none"/>
          <w:lang w:eastAsia="zh-CN"/>
        </w:rPr>
        <w:t>高质量发展</w:t>
      </w:r>
      <w:r>
        <w:rPr>
          <w:rFonts w:hint="eastAsia" w:ascii="仿宋_GB2312" w:hAnsi="仿宋_GB2312" w:eastAsia="仿宋_GB2312" w:cs="仿宋_GB2312"/>
          <w:sz w:val="32"/>
          <w:szCs w:val="32"/>
          <w:u w:val="none"/>
        </w:rPr>
        <w:t>研究</w:t>
      </w:r>
    </w:p>
    <w:p>
      <w:pPr>
        <w:keepNext w:val="0"/>
        <w:keepLines w:val="0"/>
        <w:pageBreakBefore w:val="0"/>
        <w:numPr>
          <w:ilvl w:val="0"/>
          <w:numId w:val="0"/>
        </w:numPr>
        <w:kinsoku/>
        <w:wordWrap/>
        <w:overflowPunct/>
        <w:autoSpaceDE/>
        <w:autoSpaceDN/>
        <w:bidi w:val="0"/>
        <w:spacing w:line="560" w:lineRule="exact"/>
        <w:ind w:left="0" w:leftChars="0" w:firstLine="640" w:firstLineChars="200"/>
        <w:textAlignment w:val="auto"/>
        <w:rPr>
          <w:rFonts w:hint="eastAsia" w:ascii="仿宋_GB2312" w:hAnsi="仿宋_GB2312" w:eastAsia="仿宋_GB2312" w:cs="仿宋_GB2312"/>
          <w:sz w:val="32"/>
          <w:szCs w:val="32"/>
          <w:u w:val="none"/>
          <w:lang w:eastAsia="zh-CN"/>
        </w:rPr>
      </w:pPr>
      <w:r>
        <w:rPr>
          <w:rFonts w:hint="eastAsia" w:ascii="仿宋_GB2312" w:hAnsi="仿宋_GB2312" w:eastAsia="仿宋_GB2312" w:cs="仿宋_GB2312"/>
          <w:sz w:val="32"/>
          <w:szCs w:val="32"/>
          <w:u w:val="none"/>
          <w:lang w:val="en-US" w:eastAsia="zh-CN"/>
        </w:rPr>
        <w:t>4.</w:t>
      </w:r>
      <w:r>
        <w:rPr>
          <w:rFonts w:hint="eastAsia" w:ascii="仿宋_GB2312" w:hAnsi="仿宋_GB2312" w:eastAsia="仿宋_GB2312" w:cs="仿宋_GB2312"/>
          <w:sz w:val="32"/>
          <w:szCs w:val="32"/>
          <w:u w:val="none"/>
          <w:lang w:eastAsia="zh-CN"/>
        </w:rPr>
        <w:t>社会组织党建工作研究</w:t>
      </w:r>
    </w:p>
    <w:p>
      <w:pPr>
        <w:keepNext w:val="0"/>
        <w:keepLines w:val="0"/>
        <w:pageBreakBefore w:val="0"/>
        <w:numPr>
          <w:ilvl w:val="0"/>
          <w:numId w:val="0"/>
        </w:numPr>
        <w:kinsoku/>
        <w:wordWrap/>
        <w:overflowPunct/>
        <w:autoSpaceDE/>
        <w:autoSpaceDN/>
        <w:bidi w:val="0"/>
        <w:spacing w:line="560" w:lineRule="exact"/>
        <w:ind w:left="0" w:leftChars="0" w:firstLine="640" w:firstLineChars="200"/>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5.提升基层党组织组织力研究</w:t>
      </w:r>
    </w:p>
    <w:p>
      <w:pPr>
        <w:keepNext w:val="0"/>
        <w:keepLines w:val="0"/>
        <w:pageBreakBefore w:val="0"/>
        <w:numPr>
          <w:ilvl w:val="0"/>
          <w:numId w:val="0"/>
        </w:numPr>
        <w:kinsoku/>
        <w:wordWrap/>
        <w:overflowPunct/>
        <w:autoSpaceDE/>
        <w:autoSpaceDN/>
        <w:bidi w:val="0"/>
        <w:spacing w:line="560" w:lineRule="exact"/>
        <w:ind w:left="0" w:leftChars="0" w:firstLine="640" w:firstLineChars="200"/>
        <w:textAlignment w:val="auto"/>
        <w:rPr>
          <w:rFonts w:hint="eastAsia" w:ascii="仿宋_GB2312" w:hAnsi="仿宋_GB2312" w:eastAsia="仿宋_GB2312" w:cs="仿宋_GB2312"/>
          <w:sz w:val="32"/>
          <w:szCs w:val="32"/>
          <w:u w:val="none"/>
          <w:lang w:eastAsia="zh-CN"/>
        </w:rPr>
      </w:pPr>
      <w:r>
        <w:rPr>
          <w:rFonts w:hint="eastAsia" w:ascii="仿宋_GB2312" w:hAnsi="仿宋_GB2312" w:eastAsia="仿宋_GB2312" w:cs="仿宋_GB2312"/>
          <w:sz w:val="32"/>
          <w:szCs w:val="32"/>
          <w:u w:val="none"/>
          <w:lang w:val="en-US" w:eastAsia="zh-CN"/>
        </w:rPr>
        <w:t>6.</w:t>
      </w:r>
      <w:r>
        <w:rPr>
          <w:rFonts w:hint="eastAsia" w:ascii="仿宋_GB2312" w:hAnsi="仿宋_GB2312" w:eastAsia="仿宋_GB2312" w:cs="仿宋_GB2312"/>
          <w:sz w:val="32"/>
          <w:szCs w:val="32"/>
          <w:u w:val="none"/>
          <w:lang w:eastAsia="zh-CN"/>
        </w:rPr>
        <w:t>年轻干部廉洁从政教育管理研究</w:t>
      </w:r>
    </w:p>
    <w:p>
      <w:pPr>
        <w:keepNext w:val="0"/>
        <w:keepLines w:val="0"/>
        <w:pageBreakBefore w:val="0"/>
        <w:numPr>
          <w:ilvl w:val="0"/>
          <w:numId w:val="0"/>
        </w:numPr>
        <w:kinsoku/>
        <w:wordWrap/>
        <w:overflowPunct/>
        <w:autoSpaceDE/>
        <w:autoSpaceDN/>
        <w:bidi w:val="0"/>
        <w:spacing w:line="560" w:lineRule="exact"/>
        <w:ind w:left="0" w:leftChars="0" w:firstLine="640" w:firstLineChars="200"/>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7.</w:t>
      </w:r>
      <w:r>
        <w:rPr>
          <w:rFonts w:hint="eastAsia" w:ascii="仿宋_GB2312" w:hAnsi="仿宋_GB2312" w:eastAsia="仿宋_GB2312" w:cs="仿宋_GB2312"/>
          <w:sz w:val="32"/>
          <w:szCs w:val="32"/>
          <w:u w:val="none"/>
          <w:lang w:eastAsia="zh-CN"/>
        </w:rPr>
        <w:t>深入推进党风廉政建设和反腐败斗争对策研究</w:t>
      </w:r>
    </w:p>
    <w:p>
      <w:pPr>
        <w:keepNext w:val="0"/>
        <w:keepLines w:val="0"/>
        <w:pageBreakBefore w:val="0"/>
        <w:numPr>
          <w:ilvl w:val="0"/>
          <w:numId w:val="0"/>
        </w:numPr>
        <w:kinsoku/>
        <w:wordWrap/>
        <w:overflowPunct/>
        <w:autoSpaceDE/>
        <w:autoSpaceDN/>
        <w:bidi w:val="0"/>
        <w:spacing w:line="560" w:lineRule="exact"/>
        <w:ind w:left="0" w:leftChars="0" w:firstLine="640" w:firstLineChars="200"/>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8.融媒体时代公民道德提升与思想政治工作创新研究</w:t>
      </w:r>
    </w:p>
    <w:p>
      <w:pPr>
        <w:keepNext w:val="0"/>
        <w:keepLines w:val="0"/>
        <w:pageBreakBefore w:val="0"/>
        <w:numPr>
          <w:ilvl w:val="0"/>
          <w:numId w:val="0"/>
        </w:numPr>
        <w:kinsoku/>
        <w:wordWrap/>
        <w:overflowPunct/>
        <w:autoSpaceDE/>
        <w:autoSpaceDN/>
        <w:bidi w:val="0"/>
        <w:spacing w:line="560" w:lineRule="exact"/>
        <w:ind w:left="0" w:leftChars="0" w:firstLine="640" w:firstLineChars="200"/>
        <w:textAlignment w:val="auto"/>
        <w:rPr>
          <w:rFonts w:hint="default"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9.邯郸健全党组织领导的自治法治德治相结合的基层治理体系研究</w:t>
      </w:r>
    </w:p>
    <w:p>
      <w:pPr>
        <w:keepNext w:val="0"/>
        <w:keepLines w:val="0"/>
        <w:pageBreakBefore w:val="0"/>
        <w:numPr>
          <w:ilvl w:val="0"/>
          <w:numId w:val="0"/>
        </w:numPr>
        <w:kinsoku/>
        <w:wordWrap/>
        <w:overflowPunct/>
        <w:autoSpaceDE/>
        <w:autoSpaceDN/>
        <w:bidi w:val="0"/>
        <w:spacing w:line="560" w:lineRule="exact"/>
        <w:ind w:left="0" w:leftChars="0" w:firstLine="640" w:firstLineChars="200"/>
        <w:textAlignment w:val="auto"/>
        <w:rPr>
          <w:rFonts w:hint="eastAsia" w:ascii="方正黑体_GBK" w:hAnsi="方正黑体_GBK" w:eastAsia="方正黑体_GBK" w:cs="方正黑体_GBK"/>
          <w:sz w:val="32"/>
          <w:szCs w:val="32"/>
          <w:u w:val="none"/>
          <w:lang w:val="en-US" w:eastAsia="zh-CN"/>
        </w:rPr>
      </w:pPr>
      <w:r>
        <w:rPr>
          <w:rFonts w:hint="eastAsia" w:ascii="方正黑体_GBK" w:hAnsi="方正黑体_GBK" w:eastAsia="方正黑体_GBK" w:cs="方正黑体_GBK"/>
          <w:sz w:val="32"/>
          <w:szCs w:val="32"/>
          <w:u w:val="none"/>
          <w:lang w:val="en-US" w:eastAsia="zh-CN"/>
        </w:rPr>
        <w:t>四、加快文化旅游中心建设</w:t>
      </w:r>
    </w:p>
    <w:p>
      <w:pPr>
        <w:keepNext w:val="0"/>
        <w:keepLines w:val="0"/>
        <w:pageBreakBefore w:val="0"/>
        <w:numPr>
          <w:ilvl w:val="0"/>
          <w:numId w:val="0"/>
        </w:numPr>
        <w:kinsoku/>
        <w:wordWrap/>
        <w:overflowPunct/>
        <w:autoSpaceDE/>
        <w:autoSpaceDN/>
        <w:bidi w:val="0"/>
        <w:spacing w:line="560" w:lineRule="exact"/>
        <w:ind w:left="0" w:leftChars="0" w:firstLine="640" w:firstLineChars="200"/>
        <w:textAlignment w:val="auto"/>
        <w:rPr>
          <w:rFonts w:hint="default"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1.</w:t>
      </w:r>
      <w:r>
        <w:rPr>
          <w:rFonts w:hint="default" w:ascii="仿宋_GB2312" w:hAnsi="仿宋_GB2312" w:eastAsia="仿宋_GB2312" w:cs="仿宋_GB2312"/>
          <w:sz w:val="32"/>
          <w:szCs w:val="32"/>
          <w:u w:val="none"/>
          <w:lang w:val="en-US" w:eastAsia="zh-CN"/>
        </w:rPr>
        <w:t>邯郸历史文化传承与创新研究（包括女娲文化、磁山文化、赵文化、邺城文化（曹魏建安文化）、石窟文化、梦文化、磁州窑文化、广府太极文化、成语典故文化等专题）</w:t>
      </w:r>
    </w:p>
    <w:p>
      <w:pPr>
        <w:keepNext w:val="0"/>
        <w:keepLines w:val="0"/>
        <w:pageBreakBefore w:val="0"/>
        <w:numPr>
          <w:ilvl w:val="0"/>
          <w:numId w:val="0"/>
        </w:numPr>
        <w:kinsoku/>
        <w:wordWrap/>
        <w:overflowPunct/>
        <w:autoSpaceDE/>
        <w:autoSpaceDN/>
        <w:bidi w:val="0"/>
        <w:spacing w:line="560" w:lineRule="exact"/>
        <w:ind w:left="0" w:leftChars="0" w:firstLine="640" w:firstLineChars="200"/>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2.太行山文书征集、保护、整理与研究</w:t>
      </w:r>
    </w:p>
    <w:p>
      <w:pPr>
        <w:keepNext w:val="0"/>
        <w:keepLines w:val="0"/>
        <w:pageBreakBefore w:val="0"/>
        <w:numPr>
          <w:ilvl w:val="0"/>
          <w:numId w:val="0"/>
        </w:numPr>
        <w:kinsoku/>
        <w:wordWrap/>
        <w:overflowPunct/>
        <w:autoSpaceDE/>
        <w:autoSpaceDN/>
        <w:bidi w:val="0"/>
        <w:spacing w:line="560" w:lineRule="exact"/>
        <w:ind w:left="0" w:leftChars="0" w:firstLine="640" w:firstLineChars="200"/>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3.邯郸非物质文化遗产代表性项目研究</w:t>
      </w:r>
    </w:p>
    <w:p>
      <w:pPr>
        <w:keepNext w:val="0"/>
        <w:keepLines w:val="0"/>
        <w:pageBreakBefore w:val="0"/>
        <w:numPr>
          <w:ilvl w:val="0"/>
          <w:numId w:val="0"/>
        </w:numPr>
        <w:kinsoku/>
        <w:wordWrap/>
        <w:overflowPunct/>
        <w:autoSpaceDE/>
        <w:autoSpaceDN/>
        <w:bidi w:val="0"/>
        <w:spacing w:line="560" w:lineRule="exact"/>
        <w:ind w:left="0" w:leftChars="0" w:firstLine="640" w:firstLineChars="200"/>
        <w:textAlignment w:val="auto"/>
        <w:rPr>
          <w:rFonts w:hint="default"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4.邯郸历史文化名城名镇名村研究</w:t>
      </w:r>
    </w:p>
    <w:p>
      <w:pPr>
        <w:keepNext w:val="0"/>
        <w:keepLines w:val="0"/>
        <w:pageBreakBefore w:val="0"/>
        <w:numPr>
          <w:ilvl w:val="0"/>
          <w:numId w:val="0"/>
        </w:numPr>
        <w:kinsoku/>
        <w:wordWrap/>
        <w:overflowPunct/>
        <w:autoSpaceDE/>
        <w:autoSpaceDN/>
        <w:bidi w:val="0"/>
        <w:spacing w:line="560" w:lineRule="exact"/>
        <w:ind w:left="0" w:leftChars="0" w:firstLine="640" w:firstLineChars="200"/>
        <w:textAlignment w:val="auto"/>
        <w:rPr>
          <w:rFonts w:hint="default"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5.邯郸红色文化资源发掘保护利用研究</w:t>
      </w:r>
    </w:p>
    <w:p>
      <w:pPr>
        <w:keepNext w:val="0"/>
        <w:keepLines w:val="0"/>
        <w:pageBreakBefore w:val="0"/>
        <w:numPr>
          <w:ilvl w:val="0"/>
          <w:numId w:val="0"/>
        </w:numPr>
        <w:kinsoku/>
        <w:wordWrap/>
        <w:overflowPunct/>
        <w:autoSpaceDE/>
        <w:autoSpaceDN/>
        <w:bidi w:val="0"/>
        <w:spacing w:line="560" w:lineRule="exact"/>
        <w:ind w:left="0" w:leftChars="0" w:firstLine="640" w:firstLineChars="200"/>
        <w:textAlignment w:val="auto"/>
        <w:rPr>
          <w:rFonts w:hint="default"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6.邯郸英模人物研究</w:t>
      </w:r>
    </w:p>
    <w:p>
      <w:pPr>
        <w:keepNext w:val="0"/>
        <w:keepLines w:val="0"/>
        <w:pageBreakBefore w:val="0"/>
        <w:numPr>
          <w:ilvl w:val="0"/>
          <w:numId w:val="0"/>
        </w:numPr>
        <w:kinsoku/>
        <w:wordWrap/>
        <w:overflowPunct/>
        <w:autoSpaceDE/>
        <w:autoSpaceDN/>
        <w:bidi w:val="0"/>
        <w:spacing w:line="560" w:lineRule="exact"/>
        <w:ind w:left="0" w:leftChars="0" w:firstLine="640" w:firstLineChars="200"/>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7.改革创新与邯郸企业精神研究</w:t>
      </w:r>
    </w:p>
    <w:p>
      <w:pPr>
        <w:keepNext w:val="0"/>
        <w:keepLines w:val="0"/>
        <w:pageBreakBefore w:val="0"/>
        <w:numPr>
          <w:ilvl w:val="0"/>
          <w:numId w:val="0"/>
        </w:numPr>
        <w:kinsoku/>
        <w:wordWrap/>
        <w:overflowPunct/>
        <w:autoSpaceDE/>
        <w:autoSpaceDN/>
        <w:bidi w:val="0"/>
        <w:spacing w:line="560" w:lineRule="exact"/>
        <w:ind w:left="0" w:leftChars="0" w:firstLine="640" w:firstLineChars="200"/>
        <w:textAlignment w:val="auto"/>
        <w:rPr>
          <w:rFonts w:hint="default"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8.邯郸工业、农业遗址保护研究</w:t>
      </w:r>
    </w:p>
    <w:p>
      <w:pPr>
        <w:keepNext w:val="0"/>
        <w:keepLines w:val="0"/>
        <w:pageBreakBefore w:val="0"/>
        <w:numPr>
          <w:ilvl w:val="0"/>
          <w:numId w:val="0"/>
        </w:numPr>
        <w:kinsoku/>
        <w:wordWrap/>
        <w:overflowPunct/>
        <w:autoSpaceDE/>
        <w:autoSpaceDN/>
        <w:bidi w:val="0"/>
        <w:spacing w:line="560" w:lineRule="exact"/>
        <w:ind w:left="0" w:leftChars="0" w:firstLine="640" w:firstLineChars="200"/>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9.进一步提升“成语之都·太极之乡”城市品牌影响力研究</w:t>
      </w:r>
    </w:p>
    <w:p>
      <w:pPr>
        <w:keepNext w:val="0"/>
        <w:keepLines w:val="0"/>
        <w:pageBreakBefore w:val="0"/>
        <w:numPr>
          <w:ilvl w:val="0"/>
          <w:numId w:val="0"/>
        </w:numPr>
        <w:kinsoku/>
        <w:wordWrap/>
        <w:overflowPunct/>
        <w:autoSpaceDE/>
        <w:autoSpaceDN/>
        <w:bidi w:val="0"/>
        <w:spacing w:line="560" w:lineRule="exact"/>
        <w:ind w:left="0" w:leftChars="0" w:firstLine="640" w:firstLineChars="200"/>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10.强化文旅融合，增强邯郸文旅产业发展活力研究</w:t>
      </w:r>
    </w:p>
    <w:p>
      <w:pPr>
        <w:keepNext w:val="0"/>
        <w:keepLines w:val="0"/>
        <w:pageBreakBefore w:val="0"/>
        <w:numPr>
          <w:ilvl w:val="0"/>
          <w:numId w:val="0"/>
        </w:numPr>
        <w:kinsoku/>
        <w:wordWrap/>
        <w:overflowPunct/>
        <w:autoSpaceDE/>
        <w:autoSpaceDN/>
        <w:bidi w:val="0"/>
        <w:spacing w:line="560" w:lineRule="exact"/>
        <w:ind w:left="0" w:leftChars="0" w:firstLine="640" w:firstLineChars="200"/>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11.邯郸成语典故整理、保护、开发、利用和普及研究</w:t>
      </w:r>
    </w:p>
    <w:p>
      <w:pPr>
        <w:keepNext w:val="0"/>
        <w:keepLines w:val="0"/>
        <w:pageBreakBefore w:val="0"/>
        <w:numPr>
          <w:ilvl w:val="0"/>
          <w:numId w:val="0"/>
        </w:numPr>
        <w:kinsoku/>
        <w:wordWrap/>
        <w:overflowPunct/>
        <w:autoSpaceDE/>
        <w:autoSpaceDN/>
        <w:bidi w:val="0"/>
        <w:spacing w:line="560" w:lineRule="exact"/>
        <w:ind w:left="0" w:leftChars="0" w:firstLine="640" w:firstLineChars="200"/>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12.打造国际太极拳文化传播交流中心研究</w:t>
      </w:r>
    </w:p>
    <w:p>
      <w:pPr>
        <w:keepNext w:val="0"/>
        <w:keepLines w:val="0"/>
        <w:pageBreakBefore w:val="0"/>
        <w:numPr>
          <w:ilvl w:val="0"/>
          <w:numId w:val="0"/>
        </w:numPr>
        <w:kinsoku/>
        <w:wordWrap/>
        <w:overflowPunct/>
        <w:autoSpaceDE/>
        <w:autoSpaceDN/>
        <w:bidi w:val="0"/>
        <w:spacing w:line="560" w:lineRule="exact"/>
        <w:ind w:left="0" w:leftChars="0" w:firstLine="640" w:firstLineChars="200"/>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13.推动全域旅游示范区建设研究</w:t>
      </w:r>
    </w:p>
    <w:p>
      <w:pPr>
        <w:keepNext w:val="0"/>
        <w:keepLines w:val="0"/>
        <w:pageBreakBefore w:val="0"/>
        <w:numPr>
          <w:ilvl w:val="0"/>
          <w:numId w:val="0"/>
        </w:numPr>
        <w:kinsoku/>
        <w:wordWrap/>
        <w:overflowPunct/>
        <w:autoSpaceDE/>
        <w:autoSpaceDN/>
        <w:bidi w:val="0"/>
        <w:spacing w:line="560" w:lineRule="exact"/>
        <w:ind w:left="0" w:leftChars="0" w:firstLine="640" w:firstLineChars="200"/>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14.培育开发跨区域文化旅游品牌线路研究</w:t>
      </w:r>
    </w:p>
    <w:p>
      <w:pPr>
        <w:keepNext w:val="0"/>
        <w:keepLines w:val="0"/>
        <w:pageBreakBefore w:val="0"/>
        <w:numPr>
          <w:ilvl w:val="0"/>
          <w:numId w:val="0"/>
        </w:numPr>
        <w:kinsoku/>
        <w:wordWrap/>
        <w:overflowPunct/>
        <w:autoSpaceDE/>
        <w:autoSpaceDN/>
        <w:bidi w:val="0"/>
        <w:spacing w:line="560" w:lineRule="exact"/>
        <w:ind w:left="0" w:leftChars="0" w:firstLine="640" w:firstLineChars="200"/>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15.强化京津冀文旅产业协同发展，积极融入区域城市文旅融合发展协作机制研究</w:t>
      </w:r>
    </w:p>
    <w:p>
      <w:pPr>
        <w:keepNext w:val="0"/>
        <w:keepLines w:val="0"/>
        <w:pageBreakBefore w:val="0"/>
        <w:numPr>
          <w:ilvl w:val="0"/>
          <w:numId w:val="0"/>
        </w:numPr>
        <w:kinsoku/>
        <w:wordWrap/>
        <w:overflowPunct/>
        <w:autoSpaceDE/>
        <w:autoSpaceDN/>
        <w:bidi w:val="0"/>
        <w:spacing w:line="560" w:lineRule="exact"/>
        <w:ind w:left="0" w:leftChars="0" w:firstLine="640" w:firstLineChars="200"/>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16.加快推进邯郸文化产业数字化战略路径研究</w:t>
      </w:r>
    </w:p>
    <w:p>
      <w:pPr>
        <w:keepNext w:val="0"/>
        <w:keepLines w:val="0"/>
        <w:pageBreakBefore w:val="0"/>
        <w:numPr>
          <w:ilvl w:val="0"/>
          <w:numId w:val="0"/>
        </w:numPr>
        <w:kinsoku/>
        <w:wordWrap/>
        <w:overflowPunct/>
        <w:autoSpaceDE/>
        <w:autoSpaceDN/>
        <w:bidi w:val="0"/>
        <w:spacing w:line="560" w:lineRule="exact"/>
        <w:ind w:left="0" w:leftChars="0" w:firstLine="640" w:firstLineChars="200"/>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17.推进文化和旅游数字化、网络化、智能化发展研究</w:t>
      </w:r>
    </w:p>
    <w:p>
      <w:pPr>
        <w:keepNext w:val="0"/>
        <w:keepLines w:val="0"/>
        <w:pageBreakBefore w:val="0"/>
        <w:numPr>
          <w:ilvl w:val="0"/>
          <w:numId w:val="0"/>
        </w:numPr>
        <w:kinsoku/>
        <w:wordWrap/>
        <w:overflowPunct/>
        <w:autoSpaceDE/>
        <w:autoSpaceDN/>
        <w:bidi w:val="0"/>
        <w:spacing w:line="560" w:lineRule="exact"/>
        <w:ind w:left="0" w:leftChars="0" w:firstLine="640" w:firstLineChars="200"/>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18.基层综合性文化服务中心建设研究</w:t>
      </w:r>
    </w:p>
    <w:p>
      <w:pPr>
        <w:keepNext w:val="0"/>
        <w:keepLines w:val="0"/>
        <w:pageBreakBefore w:val="0"/>
        <w:numPr>
          <w:ilvl w:val="0"/>
          <w:numId w:val="0"/>
        </w:numPr>
        <w:kinsoku/>
        <w:wordWrap/>
        <w:overflowPunct/>
        <w:autoSpaceDE/>
        <w:autoSpaceDN/>
        <w:bidi w:val="0"/>
        <w:spacing w:line="560" w:lineRule="exact"/>
        <w:ind w:left="0" w:leftChars="0" w:firstLine="640" w:firstLineChars="200"/>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19.文化产业与其他产业融合发展研究</w:t>
      </w:r>
    </w:p>
    <w:p>
      <w:pPr>
        <w:keepNext w:val="0"/>
        <w:keepLines w:val="0"/>
        <w:pageBreakBefore w:val="0"/>
        <w:numPr>
          <w:ilvl w:val="0"/>
          <w:numId w:val="0"/>
        </w:numPr>
        <w:kinsoku/>
        <w:wordWrap/>
        <w:overflowPunct/>
        <w:autoSpaceDE/>
        <w:autoSpaceDN/>
        <w:bidi w:val="0"/>
        <w:spacing w:line="560" w:lineRule="exact"/>
        <w:ind w:left="0" w:leftChars="0" w:firstLine="640" w:firstLineChars="200"/>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20.加快发展新型文化企业、文化业态、文化消费模式研究</w:t>
      </w:r>
    </w:p>
    <w:p>
      <w:pPr>
        <w:keepNext w:val="0"/>
        <w:keepLines w:val="0"/>
        <w:pageBreakBefore w:val="0"/>
        <w:numPr>
          <w:ilvl w:val="0"/>
          <w:numId w:val="0"/>
        </w:numPr>
        <w:kinsoku/>
        <w:wordWrap/>
        <w:overflowPunct/>
        <w:autoSpaceDE/>
        <w:autoSpaceDN/>
        <w:bidi w:val="0"/>
        <w:spacing w:line="560" w:lineRule="exact"/>
        <w:ind w:left="0" w:leftChars="0" w:firstLine="640" w:firstLineChars="200"/>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21.深化群众性精神文明创建研究</w:t>
      </w:r>
    </w:p>
    <w:p>
      <w:pPr>
        <w:keepNext w:val="0"/>
        <w:keepLines w:val="0"/>
        <w:pageBreakBefore w:val="0"/>
        <w:numPr>
          <w:ilvl w:val="0"/>
          <w:numId w:val="0"/>
        </w:numPr>
        <w:kinsoku/>
        <w:wordWrap/>
        <w:overflowPunct/>
        <w:autoSpaceDE/>
        <w:autoSpaceDN/>
        <w:bidi w:val="0"/>
        <w:spacing w:line="560" w:lineRule="exact"/>
        <w:ind w:left="0" w:leftChars="0" w:firstLine="640" w:firstLineChars="200"/>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22.市民文明素质常态化提升研究</w:t>
      </w:r>
    </w:p>
    <w:p>
      <w:pPr>
        <w:keepNext w:val="0"/>
        <w:keepLines w:val="0"/>
        <w:pageBreakBefore w:val="0"/>
        <w:shd w:val="clear" w:color="auto" w:fill="FFFFFF"/>
        <w:kinsoku/>
        <w:wordWrap/>
        <w:overflowPunct/>
        <w:topLinePunct/>
        <w:autoSpaceDE/>
        <w:autoSpaceDN/>
        <w:bidi w:val="0"/>
        <w:spacing w:line="560" w:lineRule="exact"/>
        <w:ind w:left="0" w:leftChars="0" w:firstLine="640" w:firstLineChars="200"/>
        <w:textAlignment w:val="auto"/>
        <w:rPr>
          <w:rFonts w:hint="default" w:ascii="方正黑体_GBK" w:hAnsi="方正黑体_GBK" w:eastAsia="方正黑体_GBK" w:cs="方正黑体_GBK"/>
          <w:sz w:val="32"/>
          <w:szCs w:val="32"/>
          <w:u w:val="none"/>
          <w:lang w:val="en-US" w:eastAsia="zh-CN"/>
        </w:rPr>
      </w:pPr>
      <w:r>
        <w:rPr>
          <w:rFonts w:hint="eastAsia" w:ascii="方正黑体_GBK" w:hAnsi="方正黑体_GBK" w:eastAsia="方正黑体_GBK" w:cs="方正黑体_GBK"/>
          <w:sz w:val="32"/>
          <w:szCs w:val="32"/>
          <w:u w:val="none"/>
          <w:lang w:val="en-US" w:eastAsia="zh-CN"/>
        </w:rPr>
        <w:t>五、弘扬传承太行精神</w:t>
      </w:r>
    </w:p>
    <w:p>
      <w:pPr>
        <w:keepNext w:val="0"/>
        <w:keepLines w:val="0"/>
        <w:pageBreakBefore w:val="0"/>
        <w:numPr>
          <w:ilvl w:val="0"/>
          <w:numId w:val="0"/>
        </w:numPr>
        <w:kinsoku/>
        <w:wordWrap/>
        <w:overflowPunct/>
        <w:autoSpaceDE/>
        <w:autoSpaceDN/>
        <w:bidi w:val="0"/>
        <w:spacing w:line="560" w:lineRule="exact"/>
        <w:ind w:left="0" w:leftChars="0" w:firstLine="640" w:firstLineChars="200"/>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1.</w:t>
      </w:r>
      <w:r>
        <w:rPr>
          <w:rFonts w:hint="eastAsia" w:ascii="仿宋_GB2312" w:hAnsi="仿宋_GB2312" w:eastAsia="仿宋_GB2312" w:cs="仿宋_GB2312"/>
          <w:sz w:val="32"/>
          <w:szCs w:val="32"/>
          <w:u w:val="none"/>
          <w:lang w:val="en-US" w:eastAsia="zh-CN"/>
        </w:rPr>
        <w:fldChar w:fldCharType="begin"/>
      </w:r>
      <w:r>
        <w:rPr>
          <w:rFonts w:hint="eastAsia" w:ascii="仿宋_GB2312" w:hAnsi="仿宋_GB2312" w:eastAsia="仿宋_GB2312" w:cs="仿宋_GB2312"/>
          <w:sz w:val="32"/>
          <w:szCs w:val="32"/>
          <w:u w:val="none"/>
          <w:lang w:val="en-US" w:eastAsia="zh-CN"/>
        </w:rPr>
        <w:instrText xml:space="preserve"> HYPERLINK "https://news.12371.cn/2015/07/09/ARTI1436411880066215.shtml" \t "https://www.12371.cn/special/zgjs/thjs/_blank" </w:instrText>
      </w:r>
      <w:r>
        <w:rPr>
          <w:rFonts w:hint="eastAsia" w:ascii="仿宋_GB2312" w:hAnsi="仿宋_GB2312" w:eastAsia="仿宋_GB2312" w:cs="仿宋_GB2312"/>
          <w:sz w:val="32"/>
          <w:szCs w:val="32"/>
          <w:u w:val="none"/>
          <w:lang w:val="en-US" w:eastAsia="zh-CN"/>
        </w:rPr>
        <w:fldChar w:fldCharType="separate"/>
      </w:r>
      <w:r>
        <w:rPr>
          <w:rFonts w:hint="eastAsia" w:ascii="仿宋_GB2312" w:hAnsi="仿宋_GB2312" w:eastAsia="仿宋_GB2312" w:cs="仿宋_GB2312"/>
          <w:sz w:val="32"/>
          <w:szCs w:val="32"/>
          <w:u w:val="none"/>
          <w:lang w:val="en-US" w:eastAsia="zh-CN"/>
        </w:rPr>
        <w:t>太行精神的理论特质、科学内涵和时代价值</w:t>
      </w:r>
      <w:r>
        <w:rPr>
          <w:rFonts w:hint="eastAsia" w:ascii="仿宋_GB2312" w:hAnsi="仿宋_GB2312" w:eastAsia="仿宋_GB2312" w:cs="仿宋_GB2312"/>
          <w:sz w:val="32"/>
          <w:szCs w:val="32"/>
          <w:u w:val="none"/>
          <w:lang w:val="en-US" w:eastAsia="zh-CN"/>
        </w:rPr>
        <w:fldChar w:fldCharType="end"/>
      </w:r>
      <w:r>
        <w:rPr>
          <w:rFonts w:hint="eastAsia" w:ascii="仿宋_GB2312" w:hAnsi="仿宋_GB2312" w:eastAsia="仿宋_GB2312" w:cs="仿宋_GB2312"/>
          <w:sz w:val="32"/>
          <w:szCs w:val="32"/>
          <w:u w:val="none"/>
          <w:lang w:val="en-US" w:eastAsia="zh-CN"/>
        </w:rPr>
        <w:t>研究</w:t>
      </w:r>
    </w:p>
    <w:p>
      <w:pPr>
        <w:keepNext w:val="0"/>
        <w:keepLines w:val="0"/>
        <w:pageBreakBefore w:val="0"/>
        <w:numPr>
          <w:ilvl w:val="0"/>
          <w:numId w:val="0"/>
        </w:numPr>
        <w:kinsoku/>
        <w:wordWrap/>
        <w:overflowPunct/>
        <w:autoSpaceDE/>
        <w:autoSpaceDN/>
        <w:bidi w:val="0"/>
        <w:spacing w:line="560" w:lineRule="exact"/>
        <w:ind w:left="0" w:leftChars="0" w:firstLine="640" w:firstLineChars="200"/>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2.太行精神的形成背景、内涵意蕴和价值赓续研究</w:t>
      </w:r>
    </w:p>
    <w:p>
      <w:pPr>
        <w:keepNext w:val="0"/>
        <w:keepLines w:val="0"/>
        <w:pageBreakBefore w:val="0"/>
        <w:numPr>
          <w:ilvl w:val="0"/>
          <w:numId w:val="0"/>
        </w:numPr>
        <w:kinsoku/>
        <w:wordWrap/>
        <w:overflowPunct/>
        <w:autoSpaceDE/>
        <w:autoSpaceDN/>
        <w:bidi w:val="0"/>
        <w:spacing w:line="560" w:lineRule="exact"/>
        <w:ind w:left="0" w:leftChars="0" w:firstLine="640" w:firstLineChars="200"/>
        <w:textAlignment w:val="auto"/>
        <w:rPr>
          <w:rFonts w:hint="default"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3.太行精神的历史逻辑、理论逻辑、实践逻辑研究</w:t>
      </w:r>
    </w:p>
    <w:p>
      <w:pPr>
        <w:keepNext w:val="0"/>
        <w:keepLines w:val="0"/>
        <w:pageBreakBefore w:val="0"/>
        <w:numPr>
          <w:ilvl w:val="0"/>
          <w:numId w:val="0"/>
        </w:numPr>
        <w:kinsoku/>
        <w:wordWrap/>
        <w:overflowPunct/>
        <w:autoSpaceDE/>
        <w:autoSpaceDN/>
        <w:bidi w:val="0"/>
        <w:spacing w:line="560" w:lineRule="exact"/>
        <w:ind w:left="0" w:leftChars="0" w:firstLine="640" w:firstLineChars="200"/>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4.传承弘扬太行精神传播路径、机制和规律研究</w:t>
      </w:r>
    </w:p>
    <w:p>
      <w:pPr>
        <w:keepNext w:val="0"/>
        <w:keepLines w:val="0"/>
        <w:pageBreakBefore w:val="0"/>
        <w:numPr>
          <w:ilvl w:val="0"/>
          <w:numId w:val="0"/>
        </w:numPr>
        <w:kinsoku/>
        <w:wordWrap/>
        <w:overflowPunct/>
        <w:autoSpaceDE/>
        <w:autoSpaceDN/>
        <w:bidi w:val="0"/>
        <w:spacing w:line="560" w:lineRule="exact"/>
        <w:ind w:left="0" w:leftChars="0" w:firstLine="640" w:firstLineChars="200"/>
        <w:textAlignment w:val="auto"/>
        <w:rPr>
          <w:rFonts w:hint="default"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5.太行精神历史地位研究</w:t>
      </w:r>
    </w:p>
    <w:p>
      <w:pPr>
        <w:keepNext w:val="0"/>
        <w:keepLines w:val="0"/>
        <w:pageBreakBefore w:val="0"/>
        <w:numPr>
          <w:ilvl w:val="0"/>
          <w:numId w:val="0"/>
        </w:numPr>
        <w:kinsoku/>
        <w:wordWrap/>
        <w:overflowPunct/>
        <w:autoSpaceDE/>
        <w:autoSpaceDN/>
        <w:bidi w:val="0"/>
        <w:spacing w:line="560" w:lineRule="exact"/>
        <w:ind w:left="0" w:leftChars="0" w:firstLine="640" w:firstLineChars="200"/>
        <w:textAlignment w:val="auto"/>
        <w:rPr>
          <w:rFonts w:hint="default"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6.太行精神与中国共产党精神谱系的关系研究</w:t>
      </w:r>
    </w:p>
    <w:p>
      <w:pPr>
        <w:keepNext w:val="0"/>
        <w:keepLines w:val="0"/>
        <w:pageBreakBefore w:val="0"/>
        <w:numPr>
          <w:ilvl w:val="0"/>
          <w:numId w:val="0"/>
        </w:numPr>
        <w:kinsoku/>
        <w:wordWrap/>
        <w:overflowPunct/>
        <w:autoSpaceDE/>
        <w:autoSpaceDN/>
        <w:bidi w:val="0"/>
        <w:spacing w:line="560" w:lineRule="exact"/>
        <w:ind w:left="0" w:leftChars="0" w:firstLine="640" w:firstLineChars="200"/>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7.太行精神融入思政教育研究</w:t>
      </w:r>
    </w:p>
    <w:p>
      <w:pPr>
        <w:keepNext w:val="0"/>
        <w:keepLines w:val="0"/>
        <w:pageBreakBefore w:val="0"/>
        <w:numPr>
          <w:ilvl w:val="0"/>
          <w:numId w:val="0"/>
        </w:numPr>
        <w:kinsoku/>
        <w:wordWrap/>
        <w:overflowPunct/>
        <w:autoSpaceDE/>
        <w:autoSpaceDN/>
        <w:bidi w:val="0"/>
        <w:spacing w:line="560" w:lineRule="exact"/>
        <w:ind w:left="0" w:leftChars="0" w:firstLine="640" w:firstLineChars="200"/>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8.邯郸对太行精神形成的历史贡献研究</w:t>
      </w:r>
    </w:p>
    <w:p>
      <w:pPr>
        <w:keepNext w:val="0"/>
        <w:keepLines w:val="0"/>
        <w:pageBreakBefore w:val="0"/>
        <w:numPr>
          <w:ilvl w:val="0"/>
          <w:numId w:val="0"/>
        </w:numPr>
        <w:kinsoku/>
        <w:wordWrap/>
        <w:overflowPunct/>
        <w:autoSpaceDE/>
        <w:autoSpaceDN/>
        <w:bidi w:val="0"/>
        <w:spacing w:line="560" w:lineRule="exact"/>
        <w:ind w:left="0" w:leftChars="0" w:firstLine="640" w:firstLineChars="200"/>
        <w:textAlignment w:val="auto"/>
        <w:rPr>
          <w:rFonts w:hint="default"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9.邯郸抗战根据地、解放区研究</w:t>
      </w:r>
    </w:p>
    <w:p>
      <w:pPr>
        <w:keepNext w:val="0"/>
        <w:keepLines w:val="0"/>
        <w:pageBreakBefore w:val="0"/>
        <w:shd w:val="clear" w:color="auto" w:fill="FFFFFF"/>
        <w:kinsoku/>
        <w:wordWrap/>
        <w:overflowPunct/>
        <w:topLinePunct/>
        <w:autoSpaceDE/>
        <w:autoSpaceDN/>
        <w:bidi w:val="0"/>
        <w:spacing w:line="560" w:lineRule="exact"/>
        <w:ind w:left="0" w:leftChars="0" w:firstLine="640" w:firstLineChars="200"/>
        <w:textAlignment w:val="auto"/>
        <w:rPr>
          <w:rFonts w:hint="eastAsia" w:ascii="方正黑体_GBK" w:hAnsi="方正黑体_GBK" w:eastAsia="方正黑体_GBK" w:cs="方正黑体_GBK"/>
          <w:color w:val="auto"/>
          <w:sz w:val="32"/>
          <w:szCs w:val="32"/>
          <w:u w:val="none"/>
          <w:lang w:eastAsia="zh-CN"/>
        </w:rPr>
      </w:pPr>
      <w:r>
        <w:rPr>
          <w:rFonts w:hint="eastAsia" w:ascii="方正黑体_GBK" w:hAnsi="方正黑体_GBK" w:eastAsia="方正黑体_GBK" w:cs="方正黑体_GBK"/>
          <w:sz w:val="32"/>
          <w:szCs w:val="32"/>
          <w:u w:val="none"/>
          <w:lang w:val="en-US" w:eastAsia="zh-CN"/>
        </w:rPr>
        <w:t>六、</w:t>
      </w:r>
      <w:r>
        <w:rPr>
          <w:rFonts w:hint="eastAsia" w:ascii="方正黑体_GBK" w:hAnsi="方正黑体_GBK" w:eastAsia="方正黑体_GBK" w:cs="方正黑体_GBK"/>
          <w:color w:val="auto"/>
          <w:sz w:val="32"/>
          <w:szCs w:val="32"/>
          <w:u w:val="none"/>
          <w:lang w:eastAsia="zh-CN"/>
        </w:rPr>
        <w:t>青少年发展联合课题</w:t>
      </w:r>
    </w:p>
    <w:p>
      <w:pPr>
        <w:keepNext w:val="0"/>
        <w:keepLines w:val="0"/>
        <w:pageBreakBefore w:val="0"/>
        <w:shd w:val="clear" w:color="auto" w:fill="FFFFFF"/>
        <w:kinsoku/>
        <w:wordWrap/>
        <w:overflowPunct/>
        <w:topLinePunct/>
        <w:autoSpaceDE/>
        <w:autoSpaceDN/>
        <w:bidi w:val="0"/>
        <w:spacing w:line="560" w:lineRule="exact"/>
        <w:ind w:left="0" w:leftChars="0" w:firstLine="640" w:firstLineChars="200"/>
        <w:textAlignment w:val="auto"/>
        <w:rPr>
          <w:rFonts w:hint="default"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1.深入推进邯郸青年高质量发展研究</w:t>
      </w:r>
    </w:p>
    <w:p>
      <w:pPr>
        <w:keepNext w:val="0"/>
        <w:keepLines w:val="0"/>
        <w:pageBreakBefore w:val="0"/>
        <w:shd w:val="clear" w:color="auto" w:fill="FFFFFF"/>
        <w:kinsoku/>
        <w:wordWrap/>
        <w:overflowPunct/>
        <w:topLinePunct/>
        <w:autoSpaceDE/>
        <w:autoSpaceDN/>
        <w:bidi w:val="0"/>
        <w:spacing w:line="560" w:lineRule="exact"/>
        <w:ind w:left="0" w:leftChars="0" w:firstLine="640" w:firstLineChars="200"/>
        <w:textAlignment w:val="auto"/>
        <w:rPr>
          <w:rFonts w:hint="eastAsia" w:ascii="仿宋_GB2312" w:hAnsi="仿宋_GB2312" w:eastAsia="仿宋_GB2312" w:cs="仿宋_GB2312"/>
          <w:color w:val="auto"/>
          <w:sz w:val="32"/>
          <w:szCs w:val="32"/>
          <w:u w:val="none"/>
          <w:lang w:eastAsia="zh-CN"/>
        </w:rPr>
      </w:pPr>
      <w:r>
        <w:rPr>
          <w:rFonts w:hint="eastAsia" w:ascii="仿宋_GB2312" w:hAnsi="仿宋_GB2312" w:eastAsia="仿宋_GB2312" w:cs="仿宋_GB2312"/>
          <w:color w:val="auto"/>
          <w:sz w:val="32"/>
          <w:szCs w:val="32"/>
          <w:u w:val="none"/>
          <w:lang w:val="en-US" w:eastAsia="zh-CN"/>
        </w:rPr>
        <w:t>2.</w:t>
      </w:r>
      <w:r>
        <w:rPr>
          <w:rFonts w:hint="eastAsia" w:ascii="仿宋_GB2312" w:hAnsi="仿宋_GB2312" w:eastAsia="仿宋_GB2312" w:cs="仿宋_GB2312"/>
          <w:color w:val="auto"/>
          <w:sz w:val="32"/>
          <w:szCs w:val="32"/>
          <w:u w:val="none"/>
          <w:lang w:eastAsia="zh-CN"/>
        </w:rPr>
        <w:t>青少年思想意识形态现状、现实困境及实践路径研究</w:t>
      </w:r>
    </w:p>
    <w:p>
      <w:pPr>
        <w:keepNext w:val="0"/>
        <w:keepLines w:val="0"/>
        <w:pageBreakBefore w:val="0"/>
        <w:shd w:val="clear" w:color="auto" w:fill="FFFFFF"/>
        <w:kinsoku/>
        <w:wordWrap/>
        <w:overflowPunct/>
        <w:topLinePunct/>
        <w:autoSpaceDE/>
        <w:autoSpaceDN/>
        <w:bidi w:val="0"/>
        <w:spacing w:line="560" w:lineRule="exact"/>
        <w:ind w:left="0" w:leftChars="0" w:firstLine="640" w:firstLineChars="200"/>
        <w:textAlignment w:val="auto"/>
        <w:rPr>
          <w:rFonts w:hint="eastAsia" w:ascii="仿宋_GB2312" w:hAnsi="仿宋_GB2312" w:eastAsia="仿宋_GB2312" w:cs="仿宋_GB2312"/>
          <w:color w:val="auto"/>
          <w:sz w:val="32"/>
          <w:szCs w:val="32"/>
          <w:u w:val="none"/>
          <w:lang w:eastAsia="zh-CN"/>
        </w:rPr>
      </w:pPr>
      <w:r>
        <w:rPr>
          <w:rFonts w:hint="eastAsia" w:ascii="仿宋_GB2312" w:hAnsi="仿宋_GB2312" w:eastAsia="仿宋_GB2312" w:cs="仿宋_GB2312"/>
          <w:color w:val="auto"/>
          <w:sz w:val="32"/>
          <w:szCs w:val="32"/>
          <w:u w:val="none"/>
          <w:lang w:val="en-US" w:eastAsia="zh-CN"/>
        </w:rPr>
        <w:t>3.</w:t>
      </w:r>
      <w:r>
        <w:rPr>
          <w:rFonts w:hint="eastAsia" w:ascii="仿宋_GB2312" w:hAnsi="仿宋_GB2312" w:eastAsia="仿宋_GB2312" w:cs="仿宋_GB2312"/>
          <w:color w:val="auto"/>
          <w:sz w:val="32"/>
          <w:szCs w:val="32"/>
          <w:u w:val="none"/>
          <w:lang w:eastAsia="zh-CN"/>
        </w:rPr>
        <w:t>新形势下青少年群体特征变化、风险挑战及对策研究</w:t>
      </w:r>
    </w:p>
    <w:p>
      <w:pPr>
        <w:keepNext w:val="0"/>
        <w:keepLines w:val="0"/>
        <w:pageBreakBefore w:val="0"/>
        <w:shd w:val="clear" w:color="auto" w:fill="FFFFFF"/>
        <w:kinsoku/>
        <w:wordWrap/>
        <w:overflowPunct/>
        <w:topLinePunct/>
        <w:autoSpaceDE/>
        <w:autoSpaceDN/>
        <w:bidi w:val="0"/>
        <w:spacing w:line="560" w:lineRule="exact"/>
        <w:ind w:left="0" w:leftChars="0" w:firstLine="640" w:firstLineChars="200"/>
        <w:textAlignment w:val="auto"/>
        <w:rPr>
          <w:rFonts w:hint="eastAsia" w:ascii="仿宋_GB2312" w:hAnsi="仿宋_GB2312" w:eastAsia="仿宋_GB2312" w:cs="仿宋_GB2312"/>
          <w:color w:val="auto"/>
          <w:sz w:val="32"/>
          <w:szCs w:val="32"/>
          <w:u w:val="none"/>
          <w:lang w:eastAsia="zh-CN"/>
        </w:rPr>
      </w:pPr>
      <w:r>
        <w:rPr>
          <w:rFonts w:hint="eastAsia" w:ascii="仿宋_GB2312" w:hAnsi="仿宋_GB2312" w:eastAsia="仿宋_GB2312" w:cs="仿宋_GB2312"/>
          <w:color w:val="auto"/>
          <w:sz w:val="32"/>
          <w:szCs w:val="32"/>
          <w:u w:val="none"/>
          <w:lang w:val="en-US" w:eastAsia="zh-CN"/>
        </w:rPr>
        <w:t>4.</w:t>
      </w:r>
      <w:r>
        <w:rPr>
          <w:rFonts w:hint="eastAsia" w:ascii="仿宋_GB2312" w:hAnsi="仿宋_GB2312" w:eastAsia="仿宋_GB2312" w:cs="仿宋_GB2312"/>
          <w:color w:val="auto"/>
          <w:sz w:val="32"/>
          <w:szCs w:val="32"/>
          <w:u w:val="none"/>
          <w:lang w:eastAsia="zh-CN"/>
        </w:rPr>
        <w:t>新时期青年就业创业现状及对策研究</w:t>
      </w:r>
    </w:p>
    <w:p>
      <w:pPr>
        <w:keepNext w:val="0"/>
        <w:keepLines w:val="0"/>
        <w:pageBreakBefore w:val="0"/>
        <w:shd w:val="clear" w:color="auto" w:fill="FFFFFF"/>
        <w:kinsoku/>
        <w:wordWrap/>
        <w:overflowPunct/>
        <w:topLinePunct/>
        <w:autoSpaceDE/>
        <w:autoSpaceDN/>
        <w:bidi w:val="0"/>
        <w:spacing w:line="560" w:lineRule="exact"/>
        <w:ind w:left="0" w:leftChars="0" w:firstLine="640" w:firstLineChars="200"/>
        <w:textAlignment w:val="auto"/>
        <w:rPr>
          <w:rFonts w:hint="eastAsia" w:ascii="仿宋_GB2312" w:hAnsi="仿宋_GB2312" w:eastAsia="仿宋_GB2312" w:cs="仿宋_GB2312"/>
          <w:color w:val="auto"/>
          <w:sz w:val="32"/>
          <w:szCs w:val="32"/>
          <w:u w:val="none"/>
          <w:lang w:eastAsia="zh-CN"/>
        </w:rPr>
      </w:pPr>
      <w:r>
        <w:rPr>
          <w:rFonts w:hint="eastAsia" w:ascii="仿宋_GB2312" w:hAnsi="仿宋_GB2312" w:eastAsia="仿宋_GB2312" w:cs="仿宋_GB2312"/>
          <w:color w:val="auto"/>
          <w:sz w:val="32"/>
          <w:szCs w:val="32"/>
          <w:u w:val="none"/>
          <w:lang w:val="en-US" w:eastAsia="zh-CN"/>
        </w:rPr>
        <w:t>5.</w:t>
      </w:r>
      <w:r>
        <w:rPr>
          <w:rFonts w:hint="eastAsia" w:ascii="仿宋_GB2312" w:hAnsi="仿宋_GB2312" w:eastAsia="仿宋_GB2312" w:cs="仿宋_GB2312"/>
          <w:color w:val="auto"/>
          <w:sz w:val="32"/>
          <w:szCs w:val="32"/>
          <w:u w:val="none"/>
          <w:lang w:eastAsia="zh-CN"/>
        </w:rPr>
        <w:t>青少年群体心理特征、风险挑战及对策研究</w:t>
      </w:r>
    </w:p>
    <w:p>
      <w:pPr>
        <w:keepNext w:val="0"/>
        <w:keepLines w:val="0"/>
        <w:pageBreakBefore w:val="0"/>
        <w:shd w:val="clear" w:color="auto" w:fill="FFFFFF"/>
        <w:kinsoku/>
        <w:wordWrap/>
        <w:overflowPunct/>
        <w:topLinePunct/>
        <w:autoSpaceDE/>
        <w:autoSpaceDN/>
        <w:bidi w:val="0"/>
        <w:spacing w:line="560" w:lineRule="exact"/>
        <w:ind w:left="0" w:leftChars="0" w:firstLine="640" w:firstLineChars="200"/>
        <w:textAlignment w:val="auto"/>
        <w:rPr>
          <w:rFonts w:hint="eastAsia" w:ascii="仿宋_GB2312" w:hAnsi="仿宋_GB2312" w:eastAsia="仿宋_GB2312" w:cs="仿宋_GB2312"/>
          <w:color w:val="auto"/>
          <w:sz w:val="32"/>
          <w:szCs w:val="32"/>
          <w:u w:val="none"/>
          <w:lang w:eastAsia="zh-CN"/>
        </w:rPr>
      </w:pPr>
      <w:r>
        <w:rPr>
          <w:rFonts w:hint="eastAsia" w:ascii="仿宋_GB2312" w:hAnsi="仿宋_GB2312" w:eastAsia="仿宋_GB2312" w:cs="仿宋_GB2312"/>
          <w:color w:val="auto"/>
          <w:sz w:val="32"/>
          <w:szCs w:val="32"/>
          <w:u w:val="none"/>
          <w:lang w:val="en-US" w:eastAsia="zh-CN"/>
        </w:rPr>
        <w:t>6.</w:t>
      </w:r>
      <w:r>
        <w:rPr>
          <w:rFonts w:hint="eastAsia" w:ascii="仿宋_GB2312" w:hAnsi="仿宋_GB2312" w:eastAsia="仿宋_GB2312" w:cs="仿宋_GB2312"/>
          <w:color w:val="auto"/>
          <w:sz w:val="32"/>
          <w:szCs w:val="32"/>
          <w:u w:val="none"/>
          <w:lang w:eastAsia="zh-CN"/>
        </w:rPr>
        <w:t>青年群体婚姻状况研究</w:t>
      </w:r>
    </w:p>
    <w:p>
      <w:pPr>
        <w:keepNext w:val="0"/>
        <w:keepLines w:val="0"/>
        <w:pageBreakBefore w:val="0"/>
        <w:shd w:val="clear" w:color="auto" w:fill="FFFFFF"/>
        <w:kinsoku/>
        <w:wordWrap/>
        <w:overflowPunct/>
        <w:topLinePunct/>
        <w:autoSpaceDE/>
        <w:autoSpaceDN/>
        <w:bidi w:val="0"/>
        <w:spacing w:line="560" w:lineRule="exact"/>
        <w:ind w:left="0" w:leftChars="0" w:firstLine="640" w:firstLineChars="200"/>
        <w:textAlignment w:val="auto"/>
        <w:rPr>
          <w:rFonts w:hint="eastAsia" w:ascii="仿宋_GB2312" w:hAnsi="仿宋_GB2312" w:eastAsia="仿宋_GB2312" w:cs="仿宋_GB2312"/>
          <w:color w:val="auto"/>
          <w:sz w:val="32"/>
          <w:szCs w:val="32"/>
          <w:u w:val="none"/>
          <w:lang w:eastAsia="zh-CN"/>
        </w:rPr>
      </w:pPr>
      <w:r>
        <w:rPr>
          <w:rFonts w:hint="eastAsia" w:ascii="仿宋_GB2312" w:hAnsi="仿宋_GB2312" w:eastAsia="仿宋_GB2312" w:cs="仿宋_GB2312"/>
          <w:color w:val="auto"/>
          <w:sz w:val="32"/>
          <w:szCs w:val="32"/>
          <w:u w:val="none"/>
          <w:lang w:val="en-US" w:eastAsia="zh-CN"/>
        </w:rPr>
        <w:t>7.</w:t>
      </w:r>
      <w:r>
        <w:rPr>
          <w:rFonts w:hint="eastAsia" w:ascii="仿宋_GB2312" w:hAnsi="仿宋_GB2312" w:eastAsia="仿宋_GB2312" w:cs="仿宋_GB2312"/>
          <w:color w:val="auto"/>
          <w:sz w:val="32"/>
          <w:szCs w:val="32"/>
          <w:u w:val="none"/>
          <w:lang w:eastAsia="zh-CN"/>
        </w:rPr>
        <w:t>青年人口数量现状、变动趋势及对策研究</w:t>
      </w:r>
    </w:p>
    <w:p>
      <w:pPr>
        <w:keepNext w:val="0"/>
        <w:keepLines w:val="0"/>
        <w:pageBreakBefore w:val="0"/>
        <w:shd w:val="clear" w:color="auto" w:fill="FFFFFF"/>
        <w:kinsoku/>
        <w:wordWrap/>
        <w:overflowPunct/>
        <w:topLinePunct/>
        <w:autoSpaceDE/>
        <w:autoSpaceDN/>
        <w:bidi w:val="0"/>
        <w:spacing w:line="560" w:lineRule="exact"/>
        <w:ind w:left="0" w:leftChars="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color w:val="auto"/>
          <w:sz w:val="32"/>
          <w:szCs w:val="32"/>
          <w:u w:val="none"/>
          <w:lang w:val="en-US" w:eastAsia="zh-CN"/>
        </w:rPr>
        <w:t>8.</w:t>
      </w:r>
      <w:r>
        <w:rPr>
          <w:rFonts w:hint="eastAsia" w:ascii="仿宋_GB2312" w:hAnsi="仿宋_GB2312" w:eastAsia="仿宋_GB2312" w:cs="仿宋_GB2312"/>
          <w:color w:val="auto"/>
          <w:sz w:val="32"/>
          <w:szCs w:val="32"/>
          <w:u w:val="none"/>
          <w:lang w:eastAsia="zh-CN"/>
        </w:rPr>
        <w:t>独立工矿区、传统革命老区、非公企业等青年群体发展研究</w:t>
      </w:r>
    </w:p>
    <w:sectPr>
      <w:footerReference r:id="rId5" w:type="default"/>
      <w:pgSz w:w="11906" w:h="16838"/>
      <w:pgMar w:top="2098" w:right="1531" w:bottom="1985" w:left="1531" w:header="851" w:footer="1701" w:gutter="0"/>
      <w:pgNumType w:fmt="decimal"/>
      <w:cols w:space="425"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方正仿宋_GBK">
    <w:panose1 w:val="02000000000000000000"/>
    <w:charset w:val="86"/>
    <w:family w:val="script"/>
    <w:pitch w:val="default"/>
    <w:sig w:usb0="00000001" w:usb1="08000000" w:usb2="00000000" w:usb3="00000000" w:csb0="00040000" w:csb1="00000000"/>
  </w:font>
  <w:font w:name="方正黑体_GBK">
    <w:panose1 w:val="02000000000000000000"/>
    <w:charset w:val="86"/>
    <w:family w:val="script"/>
    <w:pitch w:val="default"/>
    <w:sig w:usb0="00000001" w:usb1="0800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firstLine="360"/>
    </w:pPr>
    <w:r>
      <w:rPr>
        <w:sz w:val="18"/>
      </w:rP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bordersDoNotSurroundHeader w:val="false"/>
  <w:bordersDoNotSurroundFooter w:val="false"/>
  <w:doNotTrackMoves/>
  <w:documentProtection w:enforcement="0"/>
  <w:defaultTabStop w:val="420"/>
  <w:drawingGridHorizontalSpacing w:val="105"/>
  <w:drawingGridVerticalSpacing w:val="156"/>
  <w:displayHorizontalDrawingGridEvery w:val="1"/>
  <w:displayVerticalDrawingGridEvery w:val="1"/>
  <w:noPunctuationKerning w:val="true"/>
  <w:characterSpacingControl w:val="compressPunctuation"/>
  <w:noLineBreaksAfter w:lang="zh-CN" w:val="$([{£¥·‘“〈《「『【〔〖〝﹙﹛﹝＄（．［｛￡￥"/>
  <w:noLineBreaksBefore w:lang="zh-CN" w:val="!%),.:;&gt;?]}¢¨°·ˇˉ―‖’”…‰′″›℃∶、。〃〉》」』】〕〗〞︶︺︾﹀﹄﹚﹜﹞！＂％＇），．：；？］｀｜｝～￠"/>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N2NiMTBkZWE1Nzg4OWMwZGVlYjAxYjY2NWJmMzcwMGIifQ=="/>
  </w:docVars>
  <w:rsids>
    <w:rsidRoot w:val="00821F06"/>
    <w:rsid w:val="00006EDC"/>
    <w:rsid w:val="00013836"/>
    <w:rsid w:val="00020407"/>
    <w:rsid w:val="0003347B"/>
    <w:rsid w:val="0004022C"/>
    <w:rsid w:val="000436FB"/>
    <w:rsid w:val="000554D0"/>
    <w:rsid w:val="00074067"/>
    <w:rsid w:val="00075ACA"/>
    <w:rsid w:val="00096338"/>
    <w:rsid w:val="000A3DAD"/>
    <w:rsid w:val="000C516A"/>
    <w:rsid w:val="000C6FFD"/>
    <w:rsid w:val="000D0140"/>
    <w:rsid w:val="000D2AD3"/>
    <w:rsid w:val="000D6514"/>
    <w:rsid w:val="000E0945"/>
    <w:rsid w:val="000E60F3"/>
    <w:rsid w:val="000E6334"/>
    <w:rsid w:val="000F6643"/>
    <w:rsid w:val="001001E7"/>
    <w:rsid w:val="00102490"/>
    <w:rsid w:val="00114929"/>
    <w:rsid w:val="00123CC8"/>
    <w:rsid w:val="00130D99"/>
    <w:rsid w:val="001324B0"/>
    <w:rsid w:val="0014043C"/>
    <w:rsid w:val="00144782"/>
    <w:rsid w:val="00145ACF"/>
    <w:rsid w:val="001476EC"/>
    <w:rsid w:val="00150E50"/>
    <w:rsid w:val="00154032"/>
    <w:rsid w:val="00176513"/>
    <w:rsid w:val="001B6455"/>
    <w:rsid w:val="001B7FF7"/>
    <w:rsid w:val="001C321A"/>
    <w:rsid w:val="001C4B22"/>
    <w:rsid w:val="001E4E80"/>
    <w:rsid w:val="001F6A44"/>
    <w:rsid w:val="00205B54"/>
    <w:rsid w:val="00226FAC"/>
    <w:rsid w:val="00231AC3"/>
    <w:rsid w:val="00233FFA"/>
    <w:rsid w:val="00235B29"/>
    <w:rsid w:val="00237727"/>
    <w:rsid w:val="00247083"/>
    <w:rsid w:val="00256424"/>
    <w:rsid w:val="00263D7C"/>
    <w:rsid w:val="00276BA9"/>
    <w:rsid w:val="002868D6"/>
    <w:rsid w:val="00287A4A"/>
    <w:rsid w:val="00291236"/>
    <w:rsid w:val="00296222"/>
    <w:rsid w:val="002B4256"/>
    <w:rsid w:val="002C6F77"/>
    <w:rsid w:val="002C7A4A"/>
    <w:rsid w:val="002D3C34"/>
    <w:rsid w:val="002E3B24"/>
    <w:rsid w:val="00310F1D"/>
    <w:rsid w:val="00334159"/>
    <w:rsid w:val="00334A7B"/>
    <w:rsid w:val="00345C26"/>
    <w:rsid w:val="0035106F"/>
    <w:rsid w:val="00377CA3"/>
    <w:rsid w:val="0039211B"/>
    <w:rsid w:val="003A0688"/>
    <w:rsid w:val="003A60CB"/>
    <w:rsid w:val="003C563C"/>
    <w:rsid w:val="003D1795"/>
    <w:rsid w:val="003D551C"/>
    <w:rsid w:val="003D7D20"/>
    <w:rsid w:val="003E27E7"/>
    <w:rsid w:val="003F2056"/>
    <w:rsid w:val="003F2458"/>
    <w:rsid w:val="00426F0F"/>
    <w:rsid w:val="004442C7"/>
    <w:rsid w:val="004702D4"/>
    <w:rsid w:val="00491B6F"/>
    <w:rsid w:val="004C00C9"/>
    <w:rsid w:val="004C5BA3"/>
    <w:rsid w:val="004C7AE8"/>
    <w:rsid w:val="004E5344"/>
    <w:rsid w:val="005078BE"/>
    <w:rsid w:val="00513CB3"/>
    <w:rsid w:val="005153CB"/>
    <w:rsid w:val="005169D2"/>
    <w:rsid w:val="00517345"/>
    <w:rsid w:val="00520CE2"/>
    <w:rsid w:val="00530F12"/>
    <w:rsid w:val="005354EB"/>
    <w:rsid w:val="00546F7F"/>
    <w:rsid w:val="00556344"/>
    <w:rsid w:val="00560635"/>
    <w:rsid w:val="00565C8B"/>
    <w:rsid w:val="00565CCE"/>
    <w:rsid w:val="00565E5F"/>
    <w:rsid w:val="00571E41"/>
    <w:rsid w:val="00583F8B"/>
    <w:rsid w:val="005A414F"/>
    <w:rsid w:val="005A5CF5"/>
    <w:rsid w:val="005B291E"/>
    <w:rsid w:val="005B73EE"/>
    <w:rsid w:val="005E4D1E"/>
    <w:rsid w:val="005F43B3"/>
    <w:rsid w:val="005F5C2C"/>
    <w:rsid w:val="005F792C"/>
    <w:rsid w:val="006070FD"/>
    <w:rsid w:val="006222DF"/>
    <w:rsid w:val="00630C1D"/>
    <w:rsid w:val="0064250C"/>
    <w:rsid w:val="00656412"/>
    <w:rsid w:val="00665068"/>
    <w:rsid w:val="00690E72"/>
    <w:rsid w:val="00697D0D"/>
    <w:rsid w:val="006D61AC"/>
    <w:rsid w:val="00721A24"/>
    <w:rsid w:val="00735566"/>
    <w:rsid w:val="00735DAF"/>
    <w:rsid w:val="00737D47"/>
    <w:rsid w:val="00774BE8"/>
    <w:rsid w:val="00784907"/>
    <w:rsid w:val="00791DA4"/>
    <w:rsid w:val="00793C72"/>
    <w:rsid w:val="007B3B06"/>
    <w:rsid w:val="007C338D"/>
    <w:rsid w:val="007C43BA"/>
    <w:rsid w:val="007E30BC"/>
    <w:rsid w:val="007F29B3"/>
    <w:rsid w:val="00801462"/>
    <w:rsid w:val="00801CDD"/>
    <w:rsid w:val="00807978"/>
    <w:rsid w:val="00810C14"/>
    <w:rsid w:val="00811CD6"/>
    <w:rsid w:val="00821F06"/>
    <w:rsid w:val="00823B13"/>
    <w:rsid w:val="008245A0"/>
    <w:rsid w:val="00835E5D"/>
    <w:rsid w:val="00873728"/>
    <w:rsid w:val="00896798"/>
    <w:rsid w:val="008A3B56"/>
    <w:rsid w:val="008A65C6"/>
    <w:rsid w:val="008B2FFB"/>
    <w:rsid w:val="008B3001"/>
    <w:rsid w:val="008B3281"/>
    <w:rsid w:val="008C670F"/>
    <w:rsid w:val="008E0A2F"/>
    <w:rsid w:val="008F12F8"/>
    <w:rsid w:val="008F3ABB"/>
    <w:rsid w:val="008F6003"/>
    <w:rsid w:val="009010A8"/>
    <w:rsid w:val="00907AC5"/>
    <w:rsid w:val="009268F1"/>
    <w:rsid w:val="009755CB"/>
    <w:rsid w:val="009857FE"/>
    <w:rsid w:val="009A1FC3"/>
    <w:rsid w:val="009B2A57"/>
    <w:rsid w:val="009C2B28"/>
    <w:rsid w:val="009C325C"/>
    <w:rsid w:val="009D3824"/>
    <w:rsid w:val="009D5C0F"/>
    <w:rsid w:val="009D7F7A"/>
    <w:rsid w:val="009E36BA"/>
    <w:rsid w:val="009F2931"/>
    <w:rsid w:val="009F2AE7"/>
    <w:rsid w:val="00A06704"/>
    <w:rsid w:val="00A216F8"/>
    <w:rsid w:val="00A251FA"/>
    <w:rsid w:val="00A2689F"/>
    <w:rsid w:val="00A32531"/>
    <w:rsid w:val="00A335D4"/>
    <w:rsid w:val="00A44847"/>
    <w:rsid w:val="00A44A39"/>
    <w:rsid w:val="00A504AA"/>
    <w:rsid w:val="00A52085"/>
    <w:rsid w:val="00A618A9"/>
    <w:rsid w:val="00A6472E"/>
    <w:rsid w:val="00A72A0C"/>
    <w:rsid w:val="00A76F18"/>
    <w:rsid w:val="00A801FA"/>
    <w:rsid w:val="00A81371"/>
    <w:rsid w:val="00AA0BB1"/>
    <w:rsid w:val="00AB1A9B"/>
    <w:rsid w:val="00AB7BAA"/>
    <w:rsid w:val="00AC63EC"/>
    <w:rsid w:val="00AE08D9"/>
    <w:rsid w:val="00AF062C"/>
    <w:rsid w:val="00AF2044"/>
    <w:rsid w:val="00B221A4"/>
    <w:rsid w:val="00B23892"/>
    <w:rsid w:val="00B243AE"/>
    <w:rsid w:val="00B24B86"/>
    <w:rsid w:val="00B2740A"/>
    <w:rsid w:val="00B42ABE"/>
    <w:rsid w:val="00B468F5"/>
    <w:rsid w:val="00B6342E"/>
    <w:rsid w:val="00B66E8E"/>
    <w:rsid w:val="00B72A55"/>
    <w:rsid w:val="00B75922"/>
    <w:rsid w:val="00B82F37"/>
    <w:rsid w:val="00B83A2C"/>
    <w:rsid w:val="00BA6613"/>
    <w:rsid w:val="00BB3B25"/>
    <w:rsid w:val="00BC1E07"/>
    <w:rsid w:val="00BC4FCE"/>
    <w:rsid w:val="00BD18DE"/>
    <w:rsid w:val="00BD1AA3"/>
    <w:rsid w:val="00BD3C6A"/>
    <w:rsid w:val="00BD713D"/>
    <w:rsid w:val="00BE1EFE"/>
    <w:rsid w:val="00BE56DE"/>
    <w:rsid w:val="00BF07D6"/>
    <w:rsid w:val="00C028A7"/>
    <w:rsid w:val="00C04374"/>
    <w:rsid w:val="00C1159D"/>
    <w:rsid w:val="00C12802"/>
    <w:rsid w:val="00C148DB"/>
    <w:rsid w:val="00C25656"/>
    <w:rsid w:val="00C31D01"/>
    <w:rsid w:val="00C42B34"/>
    <w:rsid w:val="00C61D51"/>
    <w:rsid w:val="00C748E5"/>
    <w:rsid w:val="00C83B24"/>
    <w:rsid w:val="00CA4E64"/>
    <w:rsid w:val="00CB72E6"/>
    <w:rsid w:val="00CC2F5C"/>
    <w:rsid w:val="00CC4211"/>
    <w:rsid w:val="00CD1542"/>
    <w:rsid w:val="00CD5AAE"/>
    <w:rsid w:val="00CF0EA7"/>
    <w:rsid w:val="00D007FD"/>
    <w:rsid w:val="00D076DD"/>
    <w:rsid w:val="00D23600"/>
    <w:rsid w:val="00D24372"/>
    <w:rsid w:val="00D37BB8"/>
    <w:rsid w:val="00D43759"/>
    <w:rsid w:val="00D50202"/>
    <w:rsid w:val="00D57807"/>
    <w:rsid w:val="00D840E6"/>
    <w:rsid w:val="00DA2B32"/>
    <w:rsid w:val="00DA373D"/>
    <w:rsid w:val="00DA6BE0"/>
    <w:rsid w:val="00DB21B7"/>
    <w:rsid w:val="00DB51B3"/>
    <w:rsid w:val="00DC5607"/>
    <w:rsid w:val="00DC77B8"/>
    <w:rsid w:val="00DD57C7"/>
    <w:rsid w:val="00DE2918"/>
    <w:rsid w:val="00DF3118"/>
    <w:rsid w:val="00DF6BE3"/>
    <w:rsid w:val="00E03D83"/>
    <w:rsid w:val="00E30714"/>
    <w:rsid w:val="00E42E33"/>
    <w:rsid w:val="00E430CA"/>
    <w:rsid w:val="00E516DC"/>
    <w:rsid w:val="00E52205"/>
    <w:rsid w:val="00E61E97"/>
    <w:rsid w:val="00E84604"/>
    <w:rsid w:val="00E97E09"/>
    <w:rsid w:val="00EA4D85"/>
    <w:rsid w:val="00EA6C6B"/>
    <w:rsid w:val="00EB0933"/>
    <w:rsid w:val="00EB10FC"/>
    <w:rsid w:val="00EB3AB2"/>
    <w:rsid w:val="00EB474D"/>
    <w:rsid w:val="00F1204C"/>
    <w:rsid w:val="00F50C4A"/>
    <w:rsid w:val="00F674B1"/>
    <w:rsid w:val="00F929B4"/>
    <w:rsid w:val="00FC24EC"/>
    <w:rsid w:val="00FD2C95"/>
    <w:rsid w:val="00FD3089"/>
    <w:rsid w:val="00FD49BC"/>
    <w:rsid w:val="00FD5DC6"/>
    <w:rsid w:val="00FE2ECA"/>
    <w:rsid w:val="01D506AC"/>
    <w:rsid w:val="0F2BEC25"/>
    <w:rsid w:val="137FFB1E"/>
    <w:rsid w:val="138E0B5D"/>
    <w:rsid w:val="19ABFEED"/>
    <w:rsid w:val="1BE65907"/>
    <w:rsid w:val="1BFF9414"/>
    <w:rsid w:val="1FD7092C"/>
    <w:rsid w:val="2ABFC236"/>
    <w:rsid w:val="2E7B892F"/>
    <w:rsid w:val="321147B2"/>
    <w:rsid w:val="32590BC6"/>
    <w:rsid w:val="33FD08F9"/>
    <w:rsid w:val="36FF787B"/>
    <w:rsid w:val="37DF1B37"/>
    <w:rsid w:val="38C72A6F"/>
    <w:rsid w:val="3AB8BA52"/>
    <w:rsid w:val="3C443BBD"/>
    <w:rsid w:val="3EFFE4A8"/>
    <w:rsid w:val="3FBB181B"/>
    <w:rsid w:val="3FEE25A5"/>
    <w:rsid w:val="47F7BDF0"/>
    <w:rsid w:val="4CD20C20"/>
    <w:rsid w:val="4DB70E9E"/>
    <w:rsid w:val="4DEE56BC"/>
    <w:rsid w:val="57B44411"/>
    <w:rsid w:val="58417A82"/>
    <w:rsid w:val="5CFDEE25"/>
    <w:rsid w:val="5F66D47C"/>
    <w:rsid w:val="673FA541"/>
    <w:rsid w:val="67475161"/>
    <w:rsid w:val="68996508"/>
    <w:rsid w:val="6CC4036B"/>
    <w:rsid w:val="6DFEC8FE"/>
    <w:rsid w:val="6F5D66D7"/>
    <w:rsid w:val="6FF2E406"/>
    <w:rsid w:val="737ECF4C"/>
    <w:rsid w:val="75FF3EAE"/>
    <w:rsid w:val="76AEF1F1"/>
    <w:rsid w:val="77738123"/>
    <w:rsid w:val="79DE0FFA"/>
    <w:rsid w:val="79EF44C1"/>
    <w:rsid w:val="7AFEE873"/>
    <w:rsid w:val="7B5F1DE9"/>
    <w:rsid w:val="7BBBDA65"/>
    <w:rsid w:val="7BE7BA1A"/>
    <w:rsid w:val="7BF90DA3"/>
    <w:rsid w:val="7CE27AF7"/>
    <w:rsid w:val="7D9579BA"/>
    <w:rsid w:val="7E5E5A6F"/>
    <w:rsid w:val="7EAFC74D"/>
    <w:rsid w:val="7EF36085"/>
    <w:rsid w:val="7EF77D08"/>
    <w:rsid w:val="7F268D5C"/>
    <w:rsid w:val="7F27FA88"/>
    <w:rsid w:val="7FA6090C"/>
    <w:rsid w:val="7FF78818"/>
    <w:rsid w:val="7FFF074C"/>
    <w:rsid w:val="B5DD6066"/>
    <w:rsid w:val="B8FE4E9F"/>
    <w:rsid w:val="CCA390A6"/>
    <w:rsid w:val="CFF34497"/>
    <w:rsid w:val="D99F6C6B"/>
    <w:rsid w:val="DC6FEC10"/>
    <w:rsid w:val="DDED1D9D"/>
    <w:rsid w:val="DDF3C897"/>
    <w:rsid w:val="DF57446F"/>
    <w:rsid w:val="DFF74550"/>
    <w:rsid w:val="E3FE1314"/>
    <w:rsid w:val="E6DB9C70"/>
    <w:rsid w:val="E7FC136A"/>
    <w:rsid w:val="EA5BED7E"/>
    <w:rsid w:val="EB5B0A3B"/>
    <w:rsid w:val="EBDDACE2"/>
    <w:rsid w:val="EEFF10FC"/>
    <w:rsid w:val="EFBD7300"/>
    <w:rsid w:val="F47920D2"/>
    <w:rsid w:val="F76FBB07"/>
    <w:rsid w:val="F7DF7D22"/>
    <w:rsid w:val="F7FFEEF3"/>
    <w:rsid w:val="FAEB7BC4"/>
    <w:rsid w:val="FBDB9318"/>
    <w:rsid w:val="FCEFCC6E"/>
    <w:rsid w:val="FCFF69D3"/>
    <w:rsid w:val="FE7F01C1"/>
    <w:rsid w:val="FF570229"/>
    <w:rsid w:val="FFDDF668"/>
    <w:rsid w:val="FFDFCADF"/>
    <w:rsid w:val="FFEFB3E1"/>
    <w:rsid w:val="FFFFE3DE"/>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9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name="Normal Indent" w:locked="1"/>
    <w:lsdException w:uiPriority="99" w:name="footnote text" w:locked="1"/>
    <w:lsdException w:uiPriority="99" w:name="annotation text" w:locked="1"/>
    <w:lsdException w:qFormat="1" w:unhideWhenUsed="0" w:uiPriority="99" w:name="header"/>
    <w:lsdException w:qFormat="1" w:unhideWhenUsed="0" w:uiPriority="99"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qFormat="1" w:uiPriority="1"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99" w:name="Hyperlink" w:locked="1"/>
    <w:lsdException w:uiPriority="99" w:name="FollowedHyperlink" w:locked="1"/>
    <w:lsdException w:qFormat="1" w:unhideWhenUsed="0" w:uiPriority="0" w:semiHidden="0" w:name="Strong"/>
    <w:lsdException w:qFormat="1" w:unhideWhenUsed="0" w:uiPriority="99" w:semiHidden="0" w:name="Emphasis"/>
    <w:lsdException w:uiPriority="99" w:name="Document Map" w:locked="1"/>
    <w:lsdException w:uiPriority="99" w:name="Plain Text" w:locked="1"/>
    <w:lsdException w:uiPriority="99" w:name="E-mail Signature" w:locked="1"/>
    <w:lsdException w:qFormat="1" w:unhideWhenUsed="0" w:uiPriority="99" w:semiHidden="0"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ocked="1"/>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520" w:lineRule="exact"/>
      <w:jc w:val="both"/>
    </w:pPr>
    <w:rPr>
      <w:rFonts w:ascii="Calibri" w:hAnsi="Calibri" w:eastAsia="宋体" w:cs="Times New Roman"/>
      <w:kern w:val="2"/>
      <w:sz w:val="21"/>
      <w:szCs w:val="22"/>
      <w:lang w:val="en-US" w:eastAsia="zh-CN" w:bidi="ar-SA"/>
    </w:rPr>
  </w:style>
  <w:style w:type="paragraph" w:styleId="3">
    <w:name w:val="heading 3"/>
    <w:basedOn w:val="1"/>
    <w:next w:val="1"/>
    <w:link w:val="15"/>
    <w:qFormat/>
    <w:uiPriority w:val="99"/>
    <w:pPr>
      <w:widowControl/>
      <w:spacing w:before="100" w:beforeAutospacing="1" w:after="100" w:afterAutospacing="1" w:line="240" w:lineRule="auto"/>
      <w:jc w:val="left"/>
      <w:outlineLvl w:val="2"/>
    </w:pPr>
    <w:rPr>
      <w:rFonts w:ascii="宋体" w:hAnsi="宋体" w:cs="宋体"/>
      <w:b/>
      <w:bCs/>
      <w:kern w:val="0"/>
      <w:sz w:val="27"/>
      <w:szCs w:val="27"/>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Normal Indent"/>
    <w:semiHidden/>
    <w:qFormat/>
    <w:locked/>
    <w:uiPriority w:val="0"/>
    <w:pPr>
      <w:widowControl w:val="0"/>
      <w:ind w:firstLine="420"/>
      <w:jc w:val="both"/>
    </w:pPr>
    <w:rPr>
      <w:rFonts w:ascii="Times New Roman" w:hAnsi="Times New Roman" w:eastAsia="宋体" w:cs="Times New Roman"/>
      <w:kern w:val="2"/>
      <w:sz w:val="21"/>
      <w:szCs w:val="24"/>
      <w:lang w:val="en-US" w:eastAsia="zh-CN" w:bidi="ar-SA"/>
    </w:rPr>
  </w:style>
  <w:style w:type="paragraph" w:styleId="4">
    <w:name w:val="Balloon Text"/>
    <w:basedOn w:val="1"/>
    <w:link w:val="19"/>
    <w:semiHidden/>
    <w:qFormat/>
    <w:locked/>
    <w:uiPriority w:val="99"/>
    <w:pPr>
      <w:spacing w:line="240" w:lineRule="auto"/>
    </w:pPr>
    <w:rPr>
      <w:sz w:val="18"/>
      <w:szCs w:val="18"/>
    </w:rPr>
  </w:style>
  <w:style w:type="paragraph" w:styleId="5">
    <w:name w:val="footer"/>
    <w:basedOn w:val="1"/>
    <w:link w:val="16"/>
    <w:semiHidden/>
    <w:qFormat/>
    <w:uiPriority w:val="99"/>
    <w:pPr>
      <w:tabs>
        <w:tab w:val="center" w:pos="4153"/>
        <w:tab w:val="right" w:pos="8306"/>
      </w:tabs>
      <w:snapToGrid w:val="0"/>
      <w:spacing w:line="240" w:lineRule="atLeast"/>
      <w:jc w:val="left"/>
    </w:pPr>
    <w:rPr>
      <w:sz w:val="18"/>
      <w:szCs w:val="18"/>
    </w:rPr>
  </w:style>
  <w:style w:type="paragraph" w:styleId="6">
    <w:name w:val="header"/>
    <w:basedOn w:val="1"/>
    <w:link w:val="17"/>
    <w:semiHidden/>
    <w:qFormat/>
    <w:uiPriority w:val="99"/>
    <w:pPr>
      <w:pBdr>
        <w:bottom w:val="single" w:color="auto" w:sz="6" w:space="1"/>
      </w:pBdr>
      <w:tabs>
        <w:tab w:val="center" w:pos="4153"/>
        <w:tab w:val="right" w:pos="8306"/>
      </w:tabs>
      <w:snapToGrid w:val="0"/>
      <w:spacing w:line="240" w:lineRule="atLeast"/>
      <w:jc w:val="center"/>
    </w:pPr>
    <w:rPr>
      <w:sz w:val="18"/>
      <w:szCs w:val="18"/>
    </w:rPr>
  </w:style>
  <w:style w:type="paragraph" w:styleId="7">
    <w:name w:val="Normal (Web)"/>
    <w:basedOn w:val="1"/>
    <w:qFormat/>
    <w:locked/>
    <w:uiPriority w:val="99"/>
    <w:pPr>
      <w:widowControl/>
      <w:spacing w:before="100" w:beforeAutospacing="1" w:after="100" w:afterAutospacing="1" w:line="240" w:lineRule="auto"/>
      <w:jc w:val="left"/>
    </w:pPr>
    <w:rPr>
      <w:rFonts w:ascii="宋体" w:hAnsi="宋体" w:cs="宋体"/>
      <w:kern w:val="0"/>
      <w:sz w:val="24"/>
      <w:szCs w:val="24"/>
    </w:rPr>
  </w:style>
  <w:style w:type="table" w:styleId="9">
    <w:name w:val="Table Grid"/>
    <w:basedOn w:val="8"/>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Strong"/>
    <w:basedOn w:val="10"/>
    <w:qFormat/>
    <w:uiPriority w:val="0"/>
    <w:rPr>
      <w:b/>
    </w:rPr>
  </w:style>
  <w:style w:type="character" w:styleId="12">
    <w:name w:val="page number"/>
    <w:basedOn w:val="10"/>
    <w:qFormat/>
    <w:uiPriority w:val="99"/>
    <w:rPr>
      <w:rFonts w:cs="Times New Roman"/>
    </w:rPr>
  </w:style>
  <w:style w:type="character" w:styleId="13">
    <w:name w:val="Emphasis"/>
    <w:basedOn w:val="10"/>
    <w:qFormat/>
    <w:uiPriority w:val="99"/>
    <w:rPr>
      <w:rFonts w:cs="Times New Roman"/>
      <w:i/>
      <w:iCs/>
    </w:rPr>
  </w:style>
  <w:style w:type="character" w:styleId="14">
    <w:name w:val="Hyperlink"/>
    <w:basedOn w:val="10"/>
    <w:semiHidden/>
    <w:qFormat/>
    <w:locked/>
    <w:uiPriority w:val="99"/>
    <w:rPr>
      <w:rFonts w:cs="Times New Roman"/>
      <w:color w:val="0000FF"/>
      <w:u w:val="single"/>
    </w:rPr>
  </w:style>
  <w:style w:type="character" w:customStyle="1" w:styleId="15">
    <w:name w:val="标题 3 Char"/>
    <w:basedOn w:val="10"/>
    <w:link w:val="3"/>
    <w:qFormat/>
    <w:locked/>
    <w:uiPriority w:val="99"/>
    <w:rPr>
      <w:rFonts w:ascii="宋体" w:eastAsia="宋体" w:cs="宋体"/>
      <w:b/>
      <w:bCs/>
      <w:sz w:val="27"/>
      <w:szCs w:val="27"/>
    </w:rPr>
  </w:style>
  <w:style w:type="character" w:customStyle="1" w:styleId="16">
    <w:name w:val="页脚 Char"/>
    <w:basedOn w:val="10"/>
    <w:link w:val="5"/>
    <w:semiHidden/>
    <w:qFormat/>
    <w:locked/>
    <w:uiPriority w:val="99"/>
    <w:rPr>
      <w:rFonts w:cs="Times New Roman"/>
      <w:sz w:val="18"/>
    </w:rPr>
  </w:style>
  <w:style w:type="character" w:customStyle="1" w:styleId="17">
    <w:name w:val="页眉 Char"/>
    <w:basedOn w:val="10"/>
    <w:link w:val="6"/>
    <w:semiHidden/>
    <w:qFormat/>
    <w:locked/>
    <w:uiPriority w:val="99"/>
    <w:rPr>
      <w:rFonts w:cs="Times New Roman"/>
      <w:sz w:val="18"/>
    </w:rPr>
  </w:style>
  <w:style w:type="paragraph" w:customStyle="1" w:styleId="18">
    <w:name w:val="Char"/>
    <w:basedOn w:val="1"/>
    <w:qFormat/>
    <w:uiPriority w:val="99"/>
    <w:pPr>
      <w:spacing w:line="240" w:lineRule="auto"/>
    </w:pPr>
    <w:rPr>
      <w:rFonts w:ascii="Times New Roman" w:hAnsi="Times New Roman"/>
      <w:szCs w:val="24"/>
    </w:rPr>
  </w:style>
  <w:style w:type="character" w:customStyle="1" w:styleId="19">
    <w:name w:val="批注框文本 Char"/>
    <w:basedOn w:val="10"/>
    <w:link w:val="4"/>
    <w:semiHidden/>
    <w:qFormat/>
    <w:locked/>
    <w:uiPriority w:val="99"/>
    <w:rPr>
      <w:rFonts w:cs="Times New Roman"/>
      <w:kern w:val="2"/>
      <w:sz w:val="18"/>
      <w:szCs w:val="18"/>
    </w:rPr>
  </w:style>
  <w:style w:type="character" w:customStyle="1" w:styleId="20">
    <w:name w:val="NormalCharacter"/>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2843</Words>
  <Characters>2854</Characters>
  <Lines>37</Lines>
  <Paragraphs>10</Paragraphs>
  <TotalTime>28</TotalTime>
  <ScaleCrop>false</ScaleCrop>
  <LinksUpToDate>false</LinksUpToDate>
  <CharactersWithSpaces>2854</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2021-02-20T15:44:00Z</dcterms:created>
  <dc:creator>uos</dc:creator>
  <cp:lastModifiedBy>uos</cp:lastModifiedBy>
  <cp:lastPrinted>2022-03-09T10:12:00Z</cp:lastPrinted>
  <dcterms:modified xsi:type="dcterms:W3CDTF">2023-03-01T17:07:45Z</dcterms:modified>
  <dc:title>盐城市哲学社会科学联合会</dc:title>
  <cp:revision>49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y fmtid="{D5CDD505-2E9C-101B-9397-08002B2CF9AE}" pid="3" name="ICV">
    <vt:lpwstr>CBA8B2D291E34A3EB5783503C77F27D0</vt:lpwstr>
  </property>
</Properties>
</file>